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6C487" w14:textId="1ED6EAD6" w:rsidR="00597ABF" w:rsidRDefault="0001021A" w:rsidP="00DF74A6">
      <w:pPr>
        <w:pStyle w:val="Heading2"/>
        <w:rPr>
          <w:rFonts w:eastAsia="Times New Roman"/>
          <w:lang w:eastAsia="nb-NO"/>
        </w:rPr>
      </w:pPr>
      <w:r>
        <w:rPr>
          <w:rFonts w:eastAsia="Times New Roman"/>
          <w:lang w:eastAsia="nb-NO"/>
        </w:rPr>
        <w:t>HANS</w:t>
      </w:r>
      <w:r w:rsidR="000273E5">
        <w:rPr>
          <w:rFonts w:eastAsia="Times New Roman"/>
          <w:lang w:eastAsia="nb-NO"/>
        </w:rPr>
        <w:t>KER</w:t>
      </w:r>
    </w:p>
    <w:p w14:paraId="324E844F" w14:textId="6B295ECD" w:rsidR="00682FCA" w:rsidRPr="002756E1" w:rsidRDefault="00682FCA" w:rsidP="00DF74A6">
      <w:pPr>
        <w:pStyle w:val="Heading2"/>
        <w:rPr>
          <w:rFonts w:eastAsia="Times New Roman"/>
          <w:lang w:eastAsia="nb-NO"/>
        </w:rPr>
      </w:pPr>
      <w:r w:rsidRPr="002756E1">
        <w:rPr>
          <w:rFonts w:eastAsia="Times New Roman"/>
          <w:lang w:eastAsia="nb-NO"/>
        </w:rPr>
        <w:t>Valg av hansker vil avhenge av:</w:t>
      </w:r>
    </w:p>
    <w:p w14:paraId="09369867" w14:textId="1E6511CA" w:rsidR="00682FCA" w:rsidRPr="004E17DA" w:rsidRDefault="0059690F" w:rsidP="00BA5766">
      <w:pPr>
        <w:pStyle w:val="ListParagraph"/>
        <w:numPr>
          <w:ilvl w:val="0"/>
          <w:numId w:val="1"/>
        </w:numPr>
        <w:rPr>
          <w:lang w:eastAsia="nb-NO"/>
        </w:rPr>
      </w:pPr>
      <w:r>
        <w:rPr>
          <w:lang w:eastAsia="nb-NO"/>
        </w:rPr>
        <w:t>F</w:t>
      </w:r>
      <w:r w:rsidR="00682FCA" w:rsidRPr="004E17DA">
        <w:rPr>
          <w:lang w:eastAsia="nb-NO"/>
        </w:rPr>
        <w:t>orventet eksponering av smittestoff</w:t>
      </w:r>
      <w:r w:rsidR="00F55CA9">
        <w:rPr>
          <w:lang w:eastAsia="nb-NO"/>
        </w:rPr>
        <w:t xml:space="preserve"> og kjemikalier</w:t>
      </w:r>
      <w:r w:rsidR="00682FCA" w:rsidRPr="004E17DA">
        <w:rPr>
          <w:lang w:eastAsia="nb-NO"/>
        </w:rPr>
        <w:t xml:space="preserve"> (passform</w:t>
      </w:r>
      <w:r w:rsidR="00F639EF">
        <w:rPr>
          <w:lang w:eastAsia="nb-NO"/>
        </w:rPr>
        <w:t xml:space="preserve">, der </w:t>
      </w:r>
      <w:r w:rsidR="00D65592" w:rsidRPr="004E17DA">
        <w:rPr>
          <w:lang w:eastAsia="nb-NO"/>
        </w:rPr>
        <w:t>langermede hansker gir best beskyttelse</w:t>
      </w:r>
      <w:r w:rsidR="00682FCA" w:rsidRPr="004E17DA">
        <w:rPr>
          <w:lang w:eastAsia="nb-NO"/>
        </w:rPr>
        <w:t xml:space="preserve">, </w:t>
      </w:r>
      <w:r w:rsidR="007B2E8E">
        <w:rPr>
          <w:lang w:eastAsia="nb-NO"/>
        </w:rPr>
        <w:t xml:space="preserve">og </w:t>
      </w:r>
      <w:r w:rsidR="00682FCA" w:rsidRPr="004E17DA">
        <w:rPr>
          <w:lang w:eastAsia="nb-NO"/>
        </w:rPr>
        <w:t>barriereegenskaper)</w:t>
      </w:r>
    </w:p>
    <w:p w14:paraId="0E8168C2" w14:textId="1A3E7085" w:rsidR="00682FCA" w:rsidRPr="004E17DA" w:rsidRDefault="00DB0A0B" w:rsidP="00BA5766">
      <w:pPr>
        <w:pStyle w:val="ListParagraph"/>
        <w:numPr>
          <w:ilvl w:val="0"/>
          <w:numId w:val="1"/>
        </w:numPr>
        <w:rPr>
          <w:lang w:eastAsia="nb-NO"/>
        </w:rPr>
      </w:pPr>
      <w:r w:rsidRPr="004E17DA">
        <w:rPr>
          <w:lang w:eastAsia="nb-NO"/>
        </w:rPr>
        <w:t>Punkt 8.2 i sikkerhetsdatabladet til dine kjemikalier gir informasjon hva slags vernehansker som anbefales.</w:t>
      </w:r>
    </w:p>
    <w:p w14:paraId="159C9CF1" w14:textId="7927A633" w:rsidR="00682FCA" w:rsidRDefault="0059690F" w:rsidP="00BA5766">
      <w:pPr>
        <w:pStyle w:val="ListParagraph"/>
        <w:numPr>
          <w:ilvl w:val="0"/>
          <w:numId w:val="1"/>
        </w:numPr>
        <w:rPr>
          <w:lang w:eastAsia="nb-NO"/>
        </w:rPr>
      </w:pPr>
      <w:r>
        <w:rPr>
          <w:lang w:eastAsia="nb-NO"/>
        </w:rPr>
        <w:t>P</w:t>
      </w:r>
      <w:r w:rsidR="00682FCA" w:rsidRPr="004E17DA">
        <w:rPr>
          <w:lang w:eastAsia="nb-NO"/>
        </w:rPr>
        <w:t>ersonlig</w:t>
      </w:r>
      <w:r w:rsidR="00753C10">
        <w:rPr>
          <w:lang w:eastAsia="nb-NO"/>
        </w:rPr>
        <w:t>e</w:t>
      </w:r>
      <w:r w:rsidR="00682FCA" w:rsidRPr="004E17DA">
        <w:rPr>
          <w:lang w:eastAsia="nb-NO"/>
        </w:rPr>
        <w:t xml:space="preserve"> forhold (allergier, størrelse)</w:t>
      </w:r>
    </w:p>
    <w:p w14:paraId="31D25802" w14:textId="500FDA02" w:rsidR="00867D74" w:rsidRPr="004E17DA" w:rsidRDefault="00867D74" w:rsidP="00BA5766">
      <w:pPr>
        <w:pStyle w:val="ListParagraph"/>
        <w:numPr>
          <w:ilvl w:val="0"/>
          <w:numId w:val="1"/>
        </w:numPr>
        <w:rPr>
          <w:lang w:eastAsia="nb-NO"/>
        </w:rPr>
      </w:pPr>
      <w:r>
        <w:rPr>
          <w:lang w:eastAsia="nb-NO"/>
        </w:rPr>
        <w:t>Hva slags arbeid som skal utføres</w:t>
      </w:r>
      <w:r w:rsidR="00290C96">
        <w:rPr>
          <w:lang w:eastAsia="nb-NO"/>
        </w:rPr>
        <w:t xml:space="preserve"> kan påvirke f.eks. om hanskene </w:t>
      </w:r>
      <w:r w:rsidR="00AC76E2">
        <w:rPr>
          <w:lang w:eastAsia="nb-NO"/>
        </w:rPr>
        <w:t xml:space="preserve">f.eks. </w:t>
      </w:r>
      <w:r w:rsidR="00290C96">
        <w:rPr>
          <w:lang w:eastAsia="nb-NO"/>
        </w:rPr>
        <w:t>gir god nok friksjon</w:t>
      </w:r>
      <w:r w:rsidR="0065314F">
        <w:rPr>
          <w:lang w:eastAsia="nb-NO"/>
        </w:rPr>
        <w:t xml:space="preserve">, eller beskyttelse </w:t>
      </w:r>
      <w:r w:rsidR="00AC76E2">
        <w:rPr>
          <w:lang w:eastAsia="nb-NO"/>
        </w:rPr>
        <w:t xml:space="preserve">mot </w:t>
      </w:r>
      <w:r w:rsidR="00380E34">
        <w:rPr>
          <w:lang w:eastAsia="nb-NO"/>
        </w:rPr>
        <w:t xml:space="preserve">stikkskader eller </w:t>
      </w:r>
      <w:r w:rsidR="00AC76E2">
        <w:rPr>
          <w:lang w:eastAsia="nb-NO"/>
        </w:rPr>
        <w:t>kulde</w:t>
      </w:r>
      <w:r w:rsidR="006B257F">
        <w:rPr>
          <w:lang w:eastAsia="nb-NO"/>
        </w:rPr>
        <w:t>.</w:t>
      </w:r>
    </w:p>
    <w:p w14:paraId="10827802" w14:textId="032FC903" w:rsidR="0075599D" w:rsidRPr="004E17DA" w:rsidRDefault="0059690F" w:rsidP="00BA5766">
      <w:pPr>
        <w:pStyle w:val="ListParagraph"/>
        <w:numPr>
          <w:ilvl w:val="0"/>
          <w:numId w:val="1"/>
        </w:numPr>
        <w:rPr>
          <w:lang w:eastAsia="nb-NO"/>
        </w:rPr>
      </w:pPr>
      <w:r>
        <w:rPr>
          <w:lang w:eastAsia="nb-NO"/>
        </w:rPr>
        <w:t>V</w:t>
      </w:r>
      <w:r w:rsidR="0075599D" w:rsidRPr="004E17DA">
        <w:rPr>
          <w:lang w:eastAsia="nb-NO"/>
        </w:rPr>
        <w:t>urder om farge er viktig, eksempelvis forskjellig farge i forurenset</w:t>
      </w:r>
      <w:r w:rsidR="00D73CAA">
        <w:rPr>
          <w:lang w:eastAsia="nb-NO"/>
        </w:rPr>
        <w:t xml:space="preserve"> </w:t>
      </w:r>
      <w:r w:rsidR="0030591C">
        <w:rPr>
          <w:lang w:eastAsia="nb-NO"/>
        </w:rPr>
        <w:t>område/arbeid med</w:t>
      </w:r>
      <w:r w:rsidR="00415B40">
        <w:rPr>
          <w:lang w:eastAsia="nb-NO"/>
        </w:rPr>
        <w:t xml:space="preserve"> farlige stoffer</w:t>
      </w:r>
      <w:r w:rsidR="0075599D" w:rsidRPr="004E17DA">
        <w:rPr>
          <w:lang w:eastAsia="nb-NO"/>
        </w:rPr>
        <w:t xml:space="preserve"> og i rent område</w:t>
      </w:r>
      <w:r w:rsidR="00415B40">
        <w:rPr>
          <w:lang w:eastAsia="nb-NO"/>
        </w:rPr>
        <w:t>/arbeid med ufarlige</w:t>
      </w:r>
      <w:r w:rsidR="00F76471">
        <w:rPr>
          <w:lang w:eastAsia="nb-NO"/>
        </w:rPr>
        <w:t xml:space="preserve"> stoffer</w:t>
      </w:r>
      <w:r w:rsidR="0075599D" w:rsidRPr="004E17DA">
        <w:rPr>
          <w:lang w:eastAsia="nb-NO"/>
        </w:rPr>
        <w:t>.</w:t>
      </w:r>
    </w:p>
    <w:p w14:paraId="08C64373" w14:textId="18269307" w:rsidR="00D65592" w:rsidRPr="004E17DA" w:rsidRDefault="00D65592" w:rsidP="00BA5766">
      <w:pPr>
        <w:pStyle w:val="ListParagraph"/>
        <w:numPr>
          <w:ilvl w:val="0"/>
          <w:numId w:val="1"/>
        </w:numPr>
        <w:rPr>
          <w:lang w:eastAsia="nb-NO"/>
        </w:rPr>
      </w:pPr>
      <w:r w:rsidRPr="004E17DA">
        <w:rPr>
          <w:lang w:eastAsia="nb-NO"/>
        </w:rPr>
        <w:t xml:space="preserve">Ved </w:t>
      </w:r>
      <w:r w:rsidR="00952E14">
        <w:rPr>
          <w:lang w:eastAsia="nb-NO"/>
        </w:rPr>
        <w:t xml:space="preserve">arbeid med </w:t>
      </w:r>
      <w:r w:rsidR="003160CE">
        <w:rPr>
          <w:lang w:eastAsia="nb-NO"/>
        </w:rPr>
        <w:t xml:space="preserve">farlige stoffer, </w:t>
      </w:r>
      <w:r w:rsidRPr="004E17DA">
        <w:rPr>
          <w:lang w:eastAsia="nb-NO"/>
        </w:rPr>
        <w:t>kan det være hensiktsmessig med doble hansker for å øke motstanden</w:t>
      </w:r>
      <w:r w:rsidR="003160CE">
        <w:rPr>
          <w:lang w:eastAsia="nb-NO"/>
        </w:rPr>
        <w:t>/sikkerheten</w:t>
      </w:r>
      <w:r w:rsidRPr="004E17DA">
        <w:rPr>
          <w:lang w:eastAsia="nb-NO"/>
        </w:rPr>
        <w:t xml:space="preserve"> mot dette.</w:t>
      </w:r>
    </w:p>
    <w:p w14:paraId="390E077C" w14:textId="20B7F2B5" w:rsidR="00682FCA" w:rsidRPr="004E17DA" w:rsidRDefault="00682FCA" w:rsidP="00682FCA">
      <w:pPr>
        <w:rPr>
          <w:rFonts w:ascii="Aptos Display" w:hAnsi="Aptos Display"/>
        </w:rPr>
      </w:pPr>
      <w:r w:rsidRPr="004E17DA">
        <w:rPr>
          <w:rStyle w:val="Strong"/>
          <w:rFonts w:ascii="Aptos Display" w:hAnsi="Aptos Display"/>
        </w:rPr>
        <w:t>Latekshansker</w:t>
      </w:r>
      <w:r w:rsidRPr="004E17DA">
        <w:rPr>
          <w:rFonts w:ascii="Aptos Display" w:hAnsi="Aptos Display"/>
        </w:rPr>
        <w:t xml:space="preserve"> gir god beskyttelse mot gjennomtrengning av mikroorganismer og kjemikalier og har god strekkstyrke og passform. Lateks er imidlertid et kjent allergen.</w:t>
      </w:r>
    </w:p>
    <w:p w14:paraId="5751423A" w14:textId="278BEDDA" w:rsidR="00682FCA" w:rsidRPr="004E17DA" w:rsidRDefault="00682FCA" w:rsidP="00682FCA">
      <w:pPr>
        <w:pStyle w:val="NormalWeb"/>
        <w:rPr>
          <w:rFonts w:ascii="Aptos Display" w:hAnsi="Aptos Display"/>
        </w:rPr>
      </w:pPr>
      <w:r w:rsidRPr="004E17DA">
        <w:rPr>
          <w:rStyle w:val="Strong"/>
          <w:rFonts w:ascii="Aptos Display" w:eastAsiaTheme="majorEastAsia" w:hAnsi="Aptos Display"/>
        </w:rPr>
        <w:t>Nitrilhansker</w:t>
      </w:r>
      <w:r w:rsidRPr="004E17DA">
        <w:rPr>
          <w:rFonts w:ascii="Aptos Display" w:hAnsi="Aptos Display"/>
        </w:rPr>
        <w:t xml:space="preserve"> gir som latekshansken god beskyttelse mot gjennomtrenging av kjemikalier.</w:t>
      </w:r>
      <w:r w:rsidR="0075599D" w:rsidRPr="004E17DA">
        <w:rPr>
          <w:rFonts w:ascii="Aptos Display" w:hAnsi="Aptos Display"/>
          <w:vertAlign w:val="superscript"/>
        </w:rPr>
        <w:t xml:space="preserve"> </w:t>
      </w:r>
      <w:r w:rsidRPr="004E17DA">
        <w:rPr>
          <w:rFonts w:ascii="Aptos Display" w:hAnsi="Aptos Display"/>
        </w:rPr>
        <w:t>Hanskene har bedre barriereegenskaper mot noen stoffer, eksempelvis akrylater. Nitril er ansett som mer skånsomt for sensitiv hud, men kan imidlertid også forårsake hudirritasjon.</w:t>
      </w:r>
      <w:r w:rsidR="00681EDC">
        <w:rPr>
          <w:rFonts w:ascii="Aptos Display" w:hAnsi="Aptos Display"/>
          <w:vertAlign w:val="superscript"/>
        </w:rPr>
        <w:t xml:space="preserve"> </w:t>
      </w:r>
      <w:r w:rsidRPr="004E17DA">
        <w:rPr>
          <w:rFonts w:ascii="Aptos Display" w:hAnsi="Aptos Display"/>
        </w:rPr>
        <w:t>For å forebygge kontaktdermatitt og allergi anbefales akseleratorfrie nitrilhansker.</w:t>
      </w:r>
    </w:p>
    <w:p w14:paraId="636684E8" w14:textId="0FA96AB9" w:rsidR="00682FCA" w:rsidRDefault="00682FCA" w:rsidP="00682FCA">
      <w:pPr>
        <w:pStyle w:val="NormalWeb"/>
        <w:rPr>
          <w:rFonts w:ascii="Aptos Display" w:hAnsi="Aptos Display"/>
        </w:rPr>
      </w:pPr>
      <w:r w:rsidRPr="004E17DA">
        <w:rPr>
          <w:rStyle w:val="Strong"/>
          <w:rFonts w:ascii="Aptos Display" w:eastAsiaTheme="majorEastAsia" w:hAnsi="Aptos Display"/>
        </w:rPr>
        <w:t xml:space="preserve">Vinylhansker </w:t>
      </w:r>
      <w:r w:rsidRPr="004E17DA">
        <w:rPr>
          <w:rFonts w:ascii="Aptos Display" w:hAnsi="Aptos Display"/>
        </w:rPr>
        <w:t>har dårligere barriereegenskap for smitte og mange kjemiske stoffer, dårligere strekkstyrke og passform, og gir dårligere beskyttelse enn lateks og nitrilhansker. Vinylhansker bør kun benyttes i situasjoner hvor krav til barriereegenskaper, passform og førlighet er lav.</w:t>
      </w:r>
    </w:p>
    <w:p w14:paraId="7F9F135F" w14:textId="77777777" w:rsidR="00BA5766" w:rsidRPr="004E17DA" w:rsidRDefault="00BA5766" w:rsidP="00682FCA">
      <w:pPr>
        <w:pStyle w:val="NormalWeb"/>
        <w:rPr>
          <w:rFonts w:ascii="Aptos Display" w:hAnsi="Aptos Display"/>
        </w:rPr>
      </w:pPr>
    </w:p>
    <w:p w14:paraId="44FBF485" w14:textId="77777777" w:rsidR="00682FCA" w:rsidRPr="004E17DA" w:rsidRDefault="00682FCA" w:rsidP="00BA5766">
      <w:pPr>
        <w:pStyle w:val="Heading2"/>
        <w:rPr>
          <w:rFonts w:eastAsia="Times New Roman"/>
          <w:lang w:eastAsia="nb-NO"/>
        </w:rPr>
      </w:pPr>
      <w:r w:rsidRPr="004E17DA">
        <w:rPr>
          <w:rFonts w:eastAsia="Times New Roman"/>
          <w:lang w:eastAsia="nb-NO"/>
        </w:rPr>
        <w:t>Krav til hansker</w:t>
      </w:r>
    </w:p>
    <w:p w14:paraId="16980195" w14:textId="268944CB" w:rsidR="00F37237" w:rsidRDefault="006132BE" w:rsidP="00833F78">
      <w:pPr>
        <w:spacing w:before="100" w:beforeAutospacing="1" w:after="100" w:afterAutospacing="1" w:line="240" w:lineRule="auto"/>
        <w:rPr>
          <w:rFonts w:ascii="Aptos Display" w:eastAsia="Times New Roman" w:hAnsi="Aptos Display" w:cs="Times New Roman"/>
          <w:kern w:val="0"/>
          <w:lang w:eastAsia="nb-NO"/>
          <w14:ligatures w14:val="none"/>
        </w:rPr>
      </w:pPr>
      <w:r w:rsidRPr="006132BE">
        <w:rPr>
          <w:rFonts w:ascii="Aptos Display" w:eastAsia="Times New Roman" w:hAnsi="Aptos Display" w:cs="Times New Roman"/>
          <w:kern w:val="0"/>
          <w:lang w:eastAsia="nb-NO"/>
          <w14:ligatures w14:val="none"/>
        </w:rPr>
        <w:t xml:space="preserve">De </w:t>
      </w:r>
      <w:r>
        <w:rPr>
          <w:rFonts w:ascii="Aptos Display" w:eastAsia="Times New Roman" w:hAnsi="Aptos Display" w:cs="Times New Roman"/>
          <w:kern w:val="0"/>
          <w:lang w:eastAsia="nb-NO"/>
          <w14:ligatures w14:val="none"/>
        </w:rPr>
        <w:t>skal</w:t>
      </w:r>
      <w:r w:rsidRPr="006132BE">
        <w:rPr>
          <w:rFonts w:ascii="Aptos Display" w:eastAsia="Times New Roman" w:hAnsi="Aptos Display" w:cs="Times New Roman"/>
          <w:kern w:val="0"/>
          <w:lang w:eastAsia="nb-NO"/>
          <w14:ligatures w14:val="none"/>
        </w:rPr>
        <w:t xml:space="preserve"> være CE-merket</w:t>
      </w:r>
      <w:r w:rsidR="00833F78">
        <w:rPr>
          <w:rFonts w:ascii="Aptos Display" w:eastAsia="Times New Roman" w:hAnsi="Aptos Display" w:cs="Times New Roman"/>
          <w:kern w:val="0"/>
          <w:lang w:eastAsia="nb-NO"/>
          <w14:ligatures w14:val="none"/>
        </w:rPr>
        <w:t>,</w:t>
      </w:r>
      <w:r w:rsidR="00AF56CF" w:rsidRPr="00AF56CF">
        <w:t xml:space="preserve"> </w:t>
      </w:r>
      <w:r w:rsidR="006F4C33">
        <w:rPr>
          <w:noProof/>
        </w:rPr>
        <w:drawing>
          <wp:inline distT="0" distB="0" distL="0" distR="0" wp14:anchorId="1C478312" wp14:editId="3F16CB3A">
            <wp:extent cx="419100" cy="177219"/>
            <wp:effectExtent l="0" t="0" r="0" b="0"/>
            <wp:docPr id="1522360270" name="Picture 3">
              <a:extLst xmlns:a="http://schemas.openxmlformats.org/drawingml/2006/main">
                <a:ext uri="{FF2B5EF4-FFF2-40B4-BE49-F238E27FC236}">
                  <a16:creationId xmlns:a16="http://schemas.microsoft.com/office/drawing/2014/main" id="{813EC66E-3DAF-488D-A13C-F67EF76914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20" t="52994" r="66490" b="36173"/>
                    <a:stretch>
                      <a:fillRect/>
                    </a:stretch>
                  </pic:blipFill>
                  <pic:spPr bwMode="auto">
                    <a:xfrm>
                      <a:off x="0" y="0"/>
                      <a:ext cx="431541" cy="182480"/>
                    </a:xfrm>
                    <a:prstGeom prst="rect">
                      <a:avLst/>
                    </a:prstGeom>
                    <a:noFill/>
                    <a:ln>
                      <a:noFill/>
                    </a:ln>
                    <a:extLst>
                      <a:ext uri="{53640926-AAD7-44D8-BBD7-CCE9431645EC}">
                        <a14:shadowObscured xmlns:a14="http://schemas.microsoft.com/office/drawing/2010/main"/>
                      </a:ext>
                    </a:extLst>
                  </pic:spPr>
                </pic:pic>
              </a:graphicData>
            </a:graphic>
          </wp:inline>
        </w:drawing>
      </w:r>
      <w:r w:rsidR="009A5A97">
        <w:t xml:space="preserve">  </w:t>
      </w:r>
      <w:r w:rsidR="00F37237">
        <w:rPr>
          <w:rFonts w:ascii="Aptos Display" w:eastAsia="Times New Roman" w:hAnsi="Aptos Display" w:cs="Times New Roman"/>
          <w:kern w:val="0"/>
          <w:lang w:eastAsia="nb-NO"/>
          <w14:ligatures w14:val="none"/>
        </w:rPr>
        <w:t>og s</w:t>
      </w:r>
      <w:r w:rsidR="00F37237" w:rsidRPr="00365E89">
        <w:rPr>
          <w:rFonts w:ascii="Aptos Display" w:eastAsia="Times New Roman" w:hAnsi="Aptos Display" w:cs="Times New Roman"/>
          <w:kern w:val="0"/>
          <w:lang w:eastAsia="nb-NO"/>
          <w14:ligatures w14:val="none"/>
        </w:rPr>
        <w:t>ertifiseres av et godkjent institutt</w:t>
      </w:r>
      <w:r w:rsidR="00833F78">
        <w:rPr>
          <w:rFonts w:ascii="Aptos Display" w:eastAsia="Times New Roman" w:hAnsi="Aptos Display" w:cs="Times New Roman"/>
          <w:kern w:val="0"/>
          <w:lang w:eastAsia="nb-NO"/>
          <w14:ligatures w14:val="none"/>
        </w:rPr>
        <w:t xml:space="preserve"> (her: 2777)</w:t>
      </w:r>
      <w:r w:rsidR="00F37237" w:rsidRPr="00365E89">
        <w:rPr>
          <w:rFonts w:ascii="Aptos Display" w:eastAsia="Times New Roman" w:hAnsi="Aptos Display" w:cs="Times New Roman"/>
          <w:kern w:val="0"/>
          <w:lang w:eastAsia="nb-NO"/>
          <w14:ligatures w14:val="none"/>
        </w:rPr>
        <w:t xml:space="preserve">. </w:t>
      </w:r>
    </w:p>
    <w:p w14:paraId="3504BA55" w14:textId="5C095C6A" w:rsidR="003E0D20" w:rsidRPr="00ED32C9" w:rsidRDefault="00ED32C9" w:rsidP="00475935">
      <w:pPr>
        <w:spacing w:before="100" w:beforeAutospacing="1" w:after="100" w:afterAutospacing="1" w:line="240" w:lineRule="auto"/>
        <w:rPr>
          <w:rFonts w:ascii="Aptos Display" w:eastAsia="Times New Roman" w:hAnsi="Aptos Display" w:cs="Times New Roman"/>
          <w:kern w:val="0"/>
          <w:lang w:eastAsia="nb-NO"/>
          <w14:ligatures w14:val="none"/>
        </w:rPr>
      </w:pPr>
      <w:r>
        <w:rPr>
          <w:rFonts w:ascii="Aptos Display" w:eastAsia="Times New Roman" w:hAnsi="Aptos Display" w:cs="Times New Roman"/>
          <w:b/>
          <w:bCs/>
          <w:noProof/>
          <w:kern w:val="0"/>
          <w:lang w:eastAsia="nb-NO"/>
        </w:rPr>
        <mc:AlternateContent>
          <mc:Choice Requires="wps">
            <w:drawing>
              <wp:anchor distT="0" distB="0" distL="114300" distR="114300" simplePos="0" relativeHeight="251659264" behindDoc="0" locked="0" layoutInCell="1" allowOverlap="1" wp14:anchorId="06FBF090" wp14:editId="7D049355">
                <wp:simplePos x="0" y="0"/>
                <wp:positionH relativeFrom="column">
                  <wp:posOffset>249554</wp:posOffset>
                </wp:positionH>
                <wp:positionV relativeFrom="paragraph">
                  <wp:posOffset>585470</wp:posOffset>
                </wp:positionV>
                <wp:extent cx="45719" cy="273050"/>
                <wp:effectExtent l="57150" t="0" r="50165" b="50800"/>
                <wp:wrapNone/>
                <wp:docPr id="1475083629" name="Straight Arrow Connector 4">
                  <a:extLst xmlns:a="http://schemas.openxmlformats.org/drawingml/2006/main">
                    <a:ext uri="{FF2B5EF4-FFF2-40B4-BE49-F238E27FC236}">
                      <a16:creationId xmlns:a16="http://schemas.microsoft.com/office/drawing/2014/main" id="{856C7D47-A8AA-4ADE-9736-D637E170EF5F}"/>
                    </a:ext>
                  </a:extLst>
                </wp:docPr>
                <wp:cNvGraphicFramePr/>
                <a:graphic xmlns:a="http://schemas.openxmlformats.org/drawingml/2006/main">
                  <a:graphicData uri="http://schemas.microsoft.com/office/word/2010/wordprocessingShape">
                    <wps:wsp>
                      <wps:cNvCnPr/>
                      <wps:spPr>
                        <a:xfrm flipH="1">
                          <a:off x="0" y="0"/>
                          <a:ext cx="45719" cy="27305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18BC8EB" id="_x0000_t32" coordsize="21600,21600" o:spt="32" o:oned="t" path="m,l21600,21600e" filled="f">
                <v:path arrowok="t" fillok="f" o:connecttype="none"/>
                <o:lock v:ext="edit" shapetype="t"/>
              </v:shapetype>
              <v:shape id="Straight Arrow Connector 4" o:spid="_x0000_s1026" type="#_x0000_t32" style="position:absolute;margin-left:19.65pt;margin-top:46.1pt;width:3.6pt;height:2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" strokecolor="#e97132 [3205]" strokeweight="1.5pt">
                <v:stroke endarrow="block" joinstyle="miter"/>
              </v:shape>
            </w:pict>
          </mc:Fallback>
        </mc:AlternateContent>
      </w:r>
      <w:r w:rsidRPr="004E17DA">
        <w:rPr>
          <w:rFonts w:ascii="Aptos Display" w:eastAsia="Times New Roman" w:hAnsi="Aptos Display" w:cs="Times New Roman"/>
          <w:b/>
          <w:bCs/>
          <w:kern w:val="0"/>
          <w:lang w:eastAsia="nb-NO"/>
          <w14:ligatures w14:val="none"/>
        </w:rPr>
        <w:t xml:space="preserve">AQL </w:t>
      </w:r>
      <w:r w:rsidRPr="004E17DA">
        <w:rPr>
          <w:rFonts w:ascii="Aptos Display" w:eastAsia="Times New Roman" w:hAnsi="Aptos Display" w:cs="Times New Roman"/>
          <w:kern w:val="0"/>
          <w:lang w:eastAsia="nb-NO"/>
          <w14:ligatures w14:val="none"/>
        </w:rPr>
        <w:t>(</w:t>
      </w:r>
      <w:proofErr w:type="spellStart"/>
      <w:r w:rsidRPr="004E17DA">
        <w:rPr>
          <w:rFonts w:ascii="Aptos Display" w:eastAsia="Times New Roman" w:hAnsi="Aptos Display" w:cs="Times New Roman"/>
          <w:kern w:val="0"/>
          <w:lang w:eastAsia="nb-NO"/>
          <w14:ligatures w14:val="none"/>
        </w:rPr>
        <w:t>Acceptable</w:t>
      </w:r>
      <w:proofErr w:type="spellEnd"/>
      <w:r w:rsidRPr="004E17DA">
        <w:rPr>
          <w:rFonts w:ascii="Aptos Display" w:eastAsia="Times New Roman" w:hAnsi="Aptos Display" w:cs="Times New Roman"/>
          <w:kern w:val="0"/>
          <w:lang w:eastAsia="nb-NO"/>
          <w14:ligatures w14:val="none"/>
        </w:rPr>
        <w:t xml:space="preserve"> </w:t>
      </w:r>
      <w:proofErr w:type="spellStart"/>
      <w:r w:rsidRPr="004E17DA">
        <w:rPr>
          <w:rFonts w:ascii="Aptos Display" w:eastAsia="Times New Roman" w:hAnsi="Aptos Display" w:cs="Times New Roman"/>
          <w:kern w:val="0"/>
          <w:lang w:eastAsia="nb-NO"/>
          <w14:ligatures w14:val="none"/>
        </w:rPr>
        <w:t>Quality</w:t>
      </w:r>
      <w:proofErr w:type="spellEnd"/>
      <w:r w:rsidRPr="004E17DA">
        <w:rPr>
          <w:rFonts w:ascii="Aptos Display" w:eastAsia="Times New Roman" w:hAnsi="Aptos Display" w:cs="Times New Roman"/>
          <w:kern w:val="0"/>
          <w:lang w:eastAsia="nb-NO"/>
          <w14:ligatures w14:val="none"/>
        </w:rPr>
        <w:t xml:space="preserve"> Level): Ved en oppgitt Verdi på ≤ 1,5, vil si at det </w:t>
      </w:r>
      <w:r w:rsidR="00137585">
        <w:rPr>
          <w:rFonts w:ascii="Aptos Display" w:eastAsia="Times New Roman" w:hAnsi="Aptos Display" w:cs="Times New Roman"/>
          <w:kern w:val="0"/>
          <w:lang w:eastAsia="nb-NO"/>
          <w14:ligatures w14:val="none"/>
        </w:rPr>
        <w:t>kan</w:t>
      </w:r>
      <w:r w:rsidRPr="004E17DA">
        <w:rPr>
          <w:rFonts w:ascii="Aptos Display" w:eastAsia="Times New Roman" w:hAnsi="Aptos Display" w:cs="Times New Roman"/>
          <w:kern w:val="0"/>
          <w:lang w:eastAsia="nb-NO"/>
          <w14:ligatures w14:val="none"/>
        </w:rPr>
        <w:t xml:space="preserve"> være </w:t>
      </w:r>
      <w:r w:rsidR="00137585">
        <w:rPr>
          <w:rFonts w:ascii="Aptos Display" w:eastAsia="Times New Roman" w:hAnsi="Aptos Display" w:cs="Times New Roman"/>
          <w:kern w:val="0"/>
          <w:lang w:eastAsia="nb-NO"/>
          <w14:ligatures w14:val="none"/>
        </w:rPr>
        <w:t>opptil</w:t>
      </w:r>
      <w:r w:rsidRPr="004E17DA">
        <w:rPr>
          <w:rFonts w:ascii="Aptos Display" w:eastAsia="Times New Roman" w:hAnsi="Aptos Display" w:cs="Times New Roman"/>
          <w:kern w:val="0"/>
          <w:lang w:eastAsia="nb-NO"/>
          <w14:ligatures w14:val="none"/>
        </w:rPr>
        <w:t xml:space="preserve"> 1.5 hansker med hull per 100 hansker. I arbeidssituasjoner med stor smittefare</w:t>
      </w:r>
      <w:r>
        <w:rPr>
          <w:rFonts w:ascii="Aptos Display" w:eastAsia="Times New Roman" w:hAnsi="Aptos Display" w:cs="Times New Roman"/>
          <w:kern w:val="0"/>
          <w:lang w:eastAsia="nb-NO"/>
          <w14:ligatures w14:val="none"/>
        </w:rPr>
        <w:t xml:space="preserve"> eller farlige kjemikalier</w:t>
      </w:r>
      <w:r w:rsidRPr="004E17DA">
        <w:rPr>
          <w:rFonts w:ascii="Aptos Display" w:eastAsia="Times New Roman" w:hAnsi="Aptos Display" w:cs="Times New Roman"/>
          <w:kern w:val="0"/>
          <w:lang w:eastAsia="nb-NO"/>
          <w14:ligatures w14:val="none"/>
        </w:rPr>
        <w:t>, bø</w:t>
      </w:r>
      <w:r>
        <w:rPr>
          <w:rFonts w:ascii="Aptos Display" w:eastAsia="Times New Roman" w:hAnsi="Aptos Display" w:cs="Times New Roman"/>
          <w:kern w:val="0"/>
          <w:lang w:eastAsia="nb-NO"/>
          <w14:ligatures w14:val="none"/>
        </w:rPr>
        <w:t>r det benyttes</w:t>
      </w:r>
      <w:r w:rsidRPr="004E17DA">
        <w:rPr>
          <w:rFonts w:ascii="Aptos Display" w:eastAsia="Times New Roman" w:hAnsi="Aptos Display" w:cs="Times New Roman"/>
          <w:kern w:val="0"/>
          <w:lang w:eastAsia="nb-NO"/>
          <w14:ligatures w14:val="none"/>
        </w:rPr>
        <w:t xml:space="preserve"> hansker med lav AQL</w:t>
      </w:r>
      <w:r>
        <w:rPr>
          <w:rFonts w:ascii="Aptos Display" w:eastAsia="Times New Roman" w:hAnsi="Aptos Display" w:cs="Times New Roman"/>
          <w:kern w:val="0"/>
          <w:lang w:eastAsia="nb-NO"/>
          <w14:ligatures w14:val="none"/>
        </w:rPr>
        <w:t xml:space="preserve"> og eventuelt doble hansker.</w:t>
      </w:r>
    </w:p>
    <w:p w14:paraId="21558C25" w14:textId="50794FED" w:rsidR="006132BE" w:rsidRDefault="00967136" w:rsidP="00475935">
      <w:pPr>
        <w:spacing w:before="100" w:beforeAutospacing="1" w:after="100" w:afterAutospacing="1" w:line="240" w:lineRule="auto"/>
      </w:pPr>
      <w:r>
        <w:rPr>
          <w:noProof/>
        </w:rPr>
        <w:lastRenderedPageBreak/>
        <mc:AlternateContent>
          <mc:Choice Requires="wps">
            <w:drawing>
              <wp:anchor distT="0" distB="0" distL="114300" distR="114300" simplePos="0" relativeHeight="251663360" behindDoc="0" locked="0" layoutInCell="1" allowOverlap="1" wp14:anchorId="423D0BDC" wp14:editId="32F8C7C8">
                <wp:simplePos x="0" y="0"/>
                <wp:positionH relativeFrom="column">
                  <wp:posOffset>3316605</wp:posOffset>
                </wp:positionH>
                <wp:positionV relativeFrom="paragraph">
                  <wp:posOffset>751205</wp:posOffset>
                </wp:positionV>
                <wp:extent cx="57150" cy="704850"/>
                <wp:effectExtent l="38100" t="38100" r="38100" b="19050"/>
                <wp:wrapNone/>
                <wp:docPr id="1509004324" name="Straight Arrow Connector 8">
                  <a:extLst xmlns:a="http://schemas.openxmlformats.org/drawingml/2006/main">
                    <a:ext uri="{FF2B5EF4-FFF2-40B4-BE49-F238E27FC236}">
                      <a16:creationId xmlns:a16="http://schemas.microsoft.com/office/drawing/2014/main" id="{B2040817-6E14-48D7-B917-D91245301C07}"/>
                    </a:ext>
                  </a:extLst>
                </wp:docPr>
                <wp:cNvGraphicFramePr/>
                <a:graphic xmlns:a="http://schemas.openxmlformats.org/drawingml/2006/main">
                  <a:graphicData uri="http://schemas.microsoft.com/office/word/2010/wordprocessingShape">
                    <wps:wsp>
                      <wps:cNvCnPr/>
                      <wps:spPr>
                        <a:xfrm flipH="1" flipV="1">
                          <a:off x="0" y="0"/>
                          <a:ext cx="57150" cy="7048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3B8762" id="Straight Arrow Connector 8" o:spid="_x0000_s1026" type="#_x0000_t32" style="position:absolute;margin-left:261.15pt;margin-top:59.15pt;width:4.5pt;height:55.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" strokecolor="#156082 [3204]" strokeweight="1.5pt">
                <v:stroke endarrow="block" joinstyle="miter"/>
              </v:shape>
            </w:pict>
          </mc:Fallback>
        </mc:AlternateContent>
      </w:r>
      <w:r w:rsidR="00843162">
        <w:rPr>
          <w:noProof/>
        </w:rPr>
        <mc:AlternateContent>
          <mc:Choice Requires="wps">
            <w:drawing>
              <wp:anchor distT="0" distB="0" distL="114300" distR="114300" simplePos="0" relativeHeight="251664384" behindDoc="0" locked="0" layoutInCell="1" allowOverlap="1" wp14:anchorId="494A1B1F" wp14:editId="641ED19D">
                <wp:simplePos x="0" y="0"/>
                <wp:positionH relativeFrom="column">
                  <wp:posOffset>3392805</wp:posOffset>
                </wp:positionH>
                <wp:positionV relativeFrom="paragraph">
                  <wp:posOffset>1094105</wp:posOffset>
                </wp:positionV>
                <wp:extent cx="1422400" cy="374650"/>
                <wp:effectExtent l="0" t="57150" r="0" b="25400"/>
                <wp:wrapNone/>
                <wp:docPr id="1020851086" name="Straight Arrow Connector 9">
                  <a:extLst xmlns:a="http://schemas.openxmlformats.org/drawingml/2006/main">
                    <a:ext uri="{FF2B5EF4-FFF2-40B4-BE49-F238E27FC236}">
                      <a16:creationId xmlns:a16="http://schemas.microsoft.com/office/drawing/2014/main" id="{C7A21BD6-4891-4A67-ABCF-06B3127282F7}"/>
                    </a:ext>
                  </a:extLst>
                </wp:docPr>
                <wp:cNvGraphicFramePr/>
                <a:graphic xmlns:a="http://schemas.openxmlformats.org/drawingml/2006/main">
                  <a:graphicData uri="http://schemas.microsoft.com/office/word/2010/wordprocessingShape">
                    <wps:wsp>
                      <wps:cNvCnPr/>
                      <wps:spPr>
                        <a:xfrm flipV="1">
                          <a:off x="0" y="0"/>
                          <a:ext cx="1422400" cy="3746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F901A2F" id="Straight Arrow Connector 9" o:spid="_x0000_s1026" type="#_x0000_t32" style="position:absolute;margin-left:267.15pt;margin-top:86.15pt;width:112pt;height:29.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" strokecolor="#156082 [3204]" strokeweight="1.5pt">
                <v:stroke endarrow="block" joinstyle="miter"/>
              </v:shape>
            </w:pict>
          </mc:Fallback>
        </mc:AlternateContent>
      </w:r>
      <w:r w:rsidR="005A398B">
        <w:rPr>
          <w:noProof/>
        </w:rPr>
        <mc:AlternateContent>
          <mc:Choice Requires="wps">
            <w:drawing>
              <wp:anchor distT="0" distB="0" distL="114300" distR="114300" simplePos="0" relativeHeight="251660288" behindDoc="0" locked="0" layoutInCell="1" allowOverlap="1" wp14:anchorId="3567E086" wp14:editId="59A76A25">
                <wp:simplePos x="0" y="0"/>
                <wp:positionH relativeFrom="column">
                  <wp:posOffset>46355</wp:posOffset>
                </wp:positionH>
                <wp:positionV relativeFrom="paragraph">
                  <wp:posOffset>897255</wp:posOffset>
                </wp:positionV>
                <wp:extent cx="69850" cy="590550"/>
                <wp:effectExtent l="0" t="38100" r="63500" b="19050"/>
                <wp:wrapNone/>
                <wp:docPr id="239055743" name="Straight Arrow Connector 5">
                  <a:extLst xmlns:a="http://schemas.openxmlformats.org/drawingml/2006/main">
                    <a:ext uri="{FF2B5EF4-FFF2-40B4-BE49-F238E27FC236}">
                      <a16:creationId xmlns:a16="http://schemas.microsoft.com/office/drawing/2014/main" id="{307F2D3B-FA7B-4C74-A36F-AD220FBDD5D6}"/>
                    </a:ext>
                  </a:extLst>
                </wp:docPr>
                <wp:cNvGraphicFramePr/>
                <a:graphic xmlns:a="http://schemas.openxmlformats.org/drawingml/2006/main">
                  <a:graphicData uri="http://schemas.microsoft.com/office/word/2010/wordprocessingShape">
                    <wps:wsp>
                      <wps:cNvCnPr/>
                      <wps:spPr>
                        <a:xfrm flipV="1">
                          <a:off x="0" y="0"/>
                          <a:ext cx="69850" cy="5905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8BD8EE" id="Straight Arrow Connector 5" o:spid="_x0000_s1026" type="#_x0000_t32" style="position:absolute;margin-left:3.65pt;margin-top:70.65pt;width:5.5pt;height:4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" strokecolor="#156082 [3204]" strokeweight="1.5pt">
                <v:stroke endarrow="block" joinstyle="miter"/>
              </v:shape>
            </w:pict>
          </mc:Fallback>
        </mc:AlternateContent>
      </w:r>
      <w:r w:rsidR="005A398B">
        <w:rPr>
          <w:noProof/>
        </w:rPr>
        <mc:AlternateContent>
          <mc:Choice Requires="wps">
            <w:drawing>
              <wp:anchor distT="0" distB="0" distL="114300" distR="114300" simplePos="0" relativeHeight="251662336" behindDoc="0" locked="0" layoutInCell="1" allowOverlap="1" wp14:anchorId="017C35F5" wp14:editId="190E4DF2">
                <wp:simplePos x="0" y="0"/>
                <wp:positionH relativeFrom="column">
                  <wp:posOffset>509905</wp:posOffset>
                </wp:positionH>
                <wp:positionV relativeFrom="paragraph">
                  <wp:posOffset>820420</wp:posOffset>
                </wp:positionV>
                <wp:extent cx="419100" cy="679450"/>
                <wp:effectExtent l="0" t="38100" r="57150" b="25400"/>
                <wp:wrapNone/>
                <wp:docPr id="770151956" name="Straight Arrow Connector 7">
                  <a:extLst xmlns:a="http://schemas.openxmlformats.org/drawingml/2006/main">
                    <a:ext uri="{FF2B5EF4-FFF2-40B4-BE49-F238E27FC236}">
                      <a16:creationId xmlns:a16="http://schemas.microsoft.com/office/drawing/2014/main" id="{A0275552-21F1-464B-9846-F9EA656F5FC5}"/>
                    </a:ext>
                  </a:extLst>
                </wp:docPr>
                <wp:cNvGraphicFramePr/>
                <a:graphic xmlns:a="http://schemas.openxmlformats.org/drawingml/2006/main">
                  <a:graphicData uri="http://schemas.microsoft.com/office/word/2010/wordprocessingShape">
                    <wps:wsp>
                      <wps:cNvCnPr/>
                      <wps:spPr>
                        <a:xfrm flipV="1">
                          <a:off x="0" y="0"/>
                          <a:ext cx="419100" cy="6794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6D005A20" id="Straight Arrow Connector 7" o:spid="_x0000_s1026" type="#_x0000_t32" style="position:absolute;margin-left:40.15pt;margin-top:64.6pt;width:33pt;height:53.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" strokecolor="#156082 [3204]" strokeweight="1.5pt">
                <v:stroke endarrow="block" joinstyle="miter"/>
              </v:shape>
            </w:pict>
          </mc:Fallback>
        </mc:AlternateContent>
      </w:r>
      <w:r w:rsidR="005A398B">
        <w:rPr>
          <w:noProof/>
        </w:rPr>
        <mc:AlternateContent>
          <mc:Choice Requires="wps">
            <w:drawing>
              <wp:anchor distT="0" distB="0" distL="114300" distR="114300" simplePos="0" relativeHeight="251661312" behindDoc="0" locked="0" layoutInCell="1" allowOverlap="1" wp14:anchorId="392D3CBF" wp14:editId="4876DBB5">
                <wp:simplePos x="0" y="0"/>
                <wp:positionH relativeFrom="column">
                  <wp:posOffset>262255</wp:posOffset>
                </wp:positionH>
                <wp:positionV relativeFrom="paragraph">
                  <wp:posOffset>821055</wp:posOffset>
                </wp:positionV>
                <wp:extent cx="273050" cy="673100"/>
                <wp:effectExtent l="0" t="38100" r="50800" b="31750"/>
                <wp:wrapNone/>
                <wp:docPr id="1915709080" name="Straight Arrow Connector 6">
                  <a:extLst xmlns:a="http://schemas.openxmlformats.org/drawingml/2006/main">
                    <a:ext uri="{FF2B5EF4-FFF2-40B4-BE49-F238E27FC236}">
                      <a16:creationId xmlns:a16="http://schemas.microsoft.com/office/drawing/2014/main" id="{EA57BC3D-BD91-44E5-A971-97F225E535A9}"/>
                    </a:ext>
                  </a:extLst>
                </wp:docPr>
                <wp:cNvGraphicFramePr/>
                <a:graphic xmlns:a="http://schemas.openxmlformats.org/drawingml/2006/main">
                  <a:graphicData uri="http://schemas.microsoft.com/office/word/2010/wordprocessingShape">
                    <wps:wsp>
                      <wps:cNvCnPr/>
                      <wps:spPr>
                        <a:xfrm flipV="1">
                          <a:off x="0" y="0"/>
                          <a:ext cx="273050" cy="6731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457EF8" id="Straight Arrow Connector 6" o:spid="_x0000_s1026" type="#_x0000_t32" style="position:absolute;margin-left:20.65pt;margin-top:64.65pt;width:21.5pt;height:53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" strokecolor="#156082 [3204]" strokeweight="1.5pt">
                <v:stroke endarrow="block" joinstyle="miter"/>
              </v:shape>
            </w:pict>
          </mc:Fallback>
        </mc:AlternateContent>
      </w:r>
      <w:r w:rsidR="009A5A97">
        <w:t xml:space="preserve"> </w:t>
      </w:r>
      <w:r w:rsidR="00AF56CF">
        <w:rPr>
          <w:noProof/>
        </w:rPr>
        <w:drawing>
          <wp:inline distT="0" distB="0" distL="0" distR="0" wp14:anchorId="52A69FDD" wp14:editId="069FE4BD">
            <wp:extent cx="1220691" cy="1320800"/>
            <wp:effectExtent l="0" t="0" r="0" b="0"/>
            <wp:docPr id="1282638373" name="Picture 1">
              <a:extLst xmlns:a="http://schemas.openxmlformats.org/drawingml/2006/main">
                <a:ext uri="{FF2B5EF4-FFF2-40B4-BE49-F238E27FC236}">
                  <a16:creationId xmlns:a16="http://schemas.microsoft.com/office/drawing/2014/main" id="{D518A471-A556-4F51-B681-CBBC6A27E5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0517" cy="1342251"/>
                    </a:xfrm>
                    <a:prstGeom prst="rect">
                      <a:avLst/>
                    </a:prstGeom>
                    <a:noFill/>
                    <a:ln>
                      <a:noFill/>
                    </a:ln>
                  </pic:spPr>
                </pic:pic>
              </a:graphicData>
            </a:graphic>
          </wp:inline>
        </w:drawing>
      </w:r>
      <w:r w:rsidR="00843162">
        <w:t xml:space="preserve"> </w:t>
      </w:r>
      <w:r w:rsidR="00843162">
        <w:rPr>
          <w:noProof/>
        </w:rPr>
        <w:drawing>
          <wp:inline distT="0" distB="0" distL="0" distR="0" wp14:anchorId="6E7DBA95" wp14:editId="5A963EF2">
            <wp:extent cx="3841750" cy="1191485"/>
            <wp:effectExtent l="0" t="0" r="6350" b="8890"/>
            <wp:docPr id="1684471276" name="Picture 2">
              <a:extLst xmlns:a="http://schemas.openxmlformats.org/drawingml/2006/main">
                <a:ext uri="{FF2B5EF4-FFF2-40B4-BE49-F238E27FC236}">
                  <a16:creationId xmlns:a16="http://schemas.microsoft.com/office/drawing/2014/main" id="{581BFE31-2897-4386-89CF-79DD028667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77" t="16835" r="3549" b="44665"/>
                    <a:stretch>
                      <a:fillRect/>
                    </a:stretch>
                  </pic:blipFill>
                  <pic:spPr bwMode="auto">
                    <a:xfrm>
                      <a:off x="0" y="0"/>
                      <a:ext cx="3841750" cy="1191485"/>
                    </a:xfrm>
                    <a:prstGeom prst="rect">
                      <a:avLst/>
                    </a:prstGeom>
                    <a:noFill/>
                    <a:ln>
                      <a:noFill/>
                    </a:ln>
                    <a:extLst>
                      <a:ext uri="{53640926-AAD7-44D8-BBD7-CCE9431645EC}">
                        <a14:shadowObscured xmlns:a14="http://schemas.microsoft.com/office/drawing/2010/main"/>
                      </a:ext>
                    </a:extLst>
                  </pic:spPr>
                </pic:pic>
              </a:graphicData>
            </a:graphic>
          </wp:inline>
        </w:drawing>
      </w:r>
    </w:p>
    <w:p w14:paraId="506C19BC" w14:textId="3C52ABC3" w:rsidR="00623DEF" w:rsidRPr="00932EB8" w:rsidRDefault="00C91DD0" w:rsidP="00475935">
      <w:pPr>
        <w:spacing w:before="100" w:beforeAutospacing="1" w:after="100" w:afterAutospacing="1" w:line="240" w:lineRule="auto"/>
        <w:rPr>
          <w:rFonts w:ascii="Aptos Display" w:eastAsia="Times New Roman" w:hAnsi="Aptos Display" w:cs="Times New Roman"/>
          <w:kern w:val="0"/>
          <w:lang w:eastAsia="nb-NO"/>
          <w14:ligatures w14:val="none"/>
        </w:rPr>
      </w:pPr>
      <w:r>
        <w:rPr>
          <w:rFonts w:ascii="Aptos Display" w:eastAsia="Times New Roman" w:hAnsi="Aptos Display" w:cs="Times New Roman"/>
          <w:b/>
          <w:bCs/>
          <w:noProof/>
          <w:kern w:val="0"/>
          <w:lang w:eastAsia="nb-NO"/>
        </w:rPr>
        <mc:AlternateContent>
          <mc:Choice Requires="wps">
            <w:drawing>
              <wp:anchor distT="0" distB="0" distL="114300" distR="114300" simplePos="0" relativeHeight="251665408" behindDoc="0" locked="0" layoutInCell="1" allowOverlap="1" wp14:anchorId="4A94344D" wp14:editId="680B51AA">
                <wp:simplePos x="0" y="0"/>
                <wp:positionH relativeFrom="column">
                  <wp:posOffset>313055</wp:posOffset>
                </wp:positionH>
                <wp:positionV relativeFrom="paragraph">
                  <wp:posOffset>192405</wp:posOffset>
                </wp:positionV>
                <wp:extent cx="88900" cy="304800"/>
                <wp:effectExtent l="57150" t="0" r="25400" b="57150"/>
                <wp:wrapNone/>
                <wp:docPr id="1009386022" name="Straight Arrow Connector 10">
                  <a:extLst xmlns:a="http://schemas.openxmlformats.org/drawingml/2006/main">
                    <a:ext uri="{FF2B5EF4-FFF2-40B4-BE49-F238E27FC236}">
                      <a16:creationId xmlns:a16="http://schemas.microsoft.com/office/drawing/2014/main" id="{EE636614-7DA0-484C-81E8-5387947A8DDF}"/>
                    </a:ext>
                  </a:extLst>
                </wp:docPr>
                <wp:cNvGraphicFramePr/>
                <a:graphic xmlns:a="http://schemas.openxmlformats.org/drawingml/2006/main">
                  <a:graphicData uri="http://schemas.microsoft.com/office/word/2010/wordprocessingShape">
                    <wps:wsp>
                      <wps:cNvCnPr/>
                      <wps:spPr>
                        <a:xfrm flipH="1">
                          <a:off x="0" y="0"/>
                          <a:ext cx="88900" cy="3048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245635A" id="Straight Arrow Connector 10" o:spid="_x0000_s1026" type="#_x0000_t32" style="position:absolute;margin-left:24.65pt;margin-top:15.15pt;width:7pt;height:24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" strokecolor="#156082 [3204]" strokeweight="1.5pt">
                <v:stroke endarrow="block" joinstyle="miter"/>
              </v:shape>
            </w:pict>
          </mc:Fallback>
        </mc:AlternateContent>
      </w:r>
      <w:r w:rsidR="00623DEF" w:rsidRPr="00365E89">
        <w:rPr>
          <w:rFonts w:ascii="Aptos Display" w:eastAsia="Times New Roman" w:hAnsi="Aptos Display" w:cs="Times New Roman"/>
          <w:b/>
          <w:bCs/>
          <w:kern w:val="0"/>
          <w:lang w:eastAsia="nb-NO"/>
          <w14:ligatures w14:val="none"/>
        </w:rPr>
        <w:t>EN-standarden</w:t>
      </w:r>
      <w:r w:rsidR="00623DEF" w:rsidRPr="00365E89">
        <w:rPr>
          <w:rFonts w:ascii="Aptos Display" w:eastAsia="Times New Roman" w:hAnsi="Aptos Display" w:cs="Times New Roman"/>
          <w:kern w:val="0"/>
          <w:lang w:eastAsia="nb-NO"/>
          <w14:ligatures w14:val="none"/>
        </w:rPr>
        <w:t xml:space="preserve"> </w:t>
      </w:r>
      <w:r w:rsidR="00623DEF" w:rsidRPr="004E17DA">
        <w:rPr>
          <w:rFonts w:ascii="Aptos Display" w:eastAsia="Times New Roman" w:hAnsi="Aptos Display" w:cs="Times New Roman"/>
          <w:kern w:val="0"/>
          <w:lang w:eastAsia="nb-NO"/>
          <w14:ligatures w14:val="none"/>
        </w:rPr>
        <w:t>som eventuelt er benyttet, og beskyttelsesniv</w:t>
      </w:r>
      <w:r w:rsidR="00623DEF" w:rsidRPr="004E17DA">
        <w:rPr>
          <w:rFonts w:ascii="Aptos Display" w:eastAsia="Times New Roman" w:hAnsi="Aptos Display" w:cs="Aptos Display"/>
          <w:kern w:val="0"/>
          <w:lang w:eastAsia="nb-NO"/>
          <w14:ligatures w14:val="none"/>
        </w:rPr>
        <w:t>å</w:t>
      </w:r>
      <w:r w:rsidR="00623DEF" w:rsidRPr="004E17DA">
        <w:rPr>
          <w:rFonts w:ascii="Aptos Display" w:eastAsia="Times New Roman" w:hAnsi="Aptos Display" w:cs="Times New Roman"/>
          <w:kern w:val="0"/>
          <w:lang w:eastAsia="nb-NO"/>
          <w14:ligatures w14:val="none"/>
        </w:rPr>
        <w:t xml:space="preserve"> som for eksempel klasseinndelingen av vernehansker mot kjemikalier opp mot gjennomtrengningstiden.</w:t>
      </w:r>
      <w:r w:rsidR="00623DEF" w:rsidRPr="004E17DA">
        <w:rPr>
          <w:rFonts w:ascii="Aptos Display" w:eastAsia="Times New Roman" w:hAnsi="Aptos Display" w:cs="Times New Roman"/>
          <w:kern w:val="0"/>
          <w:vertAlign w:val="superscript"/>
          <w:lang w:eastAsia="nb-NO"/>
          <w14:ligatures w14:val="none"/>
        </w:rPr>
        <w:t> </w:t>
      </w:r>
    </w:p>
    <w:p w14:paraId="20A85058" w14:textId="7895C85E" w:rsidR="009A694A" w:rsidRDefault="00C91DD0" w:rsidP="00475935">
      <w:pPr>
        <w:spacing w:before="100" w:beforeAutospacing="1" w:after="100" w:afterAutospacing="1" w:line="240" w:lineRule="auto"/>
      </w:pPr>
      <w:r>
        <w:rPr>
          <w:noProof/>
        </w:rPr>
        <w:drawing>
          <wp:inline distT="0" distB="0" distL="0" distR="0" wp14:anchorId="2534BEBA" wp14:editId="6806DB0B">
            <wp:extent cx="3295650" cy="613383"/>
            <wp:effectExtent l="0" t="0" r="0" b="0"/>
            <wp:docPr id="349898856" name="Picture 3">
              <a:extLst xmlns:a="http://schemas.openxmlformats.org/drawingml/2006/main">
                <a:ext uri="{FF2B5EF4-FFF2-40B4-BE49-F238E27FC236}">
                  <a16:creationId xmlns:a16="http://schemas.microsoft.com/office/drawing/2014/main" id="{284739B4-5E81-49E4-A8C5-424FB225E9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077" t="35736" r="13883" b="47446"/>
                    <a:stretch>
                      <a:fillRect/>
                    </a:stretch>
                  </pic:blipFill>
                  <pic:spPr bwMode="auto">
                    <a:xfrm>
                      <a:off x="0" y="0"/>
                      <a:ext cx="3309119" cy="615890"/>
                    </a:xfrm>
                    <a:prstGeom prst="rect">
                      <a:avLst/>
                    </a:prstGeom>
                    <a:noFill/>
                    <a:ln>
                      <a:noFill/>
                    </a:ln>
                    <a:extLst>
                      <a:ext uri="{53640926-AAD7-44D8-BBD7-CCE9431645EC}">
                        <a14:shadowObscured xmlns:a14="http://schemas.microsoft.com/office/drawing/2010/main"/>
                      </a:ext>
                    </a:extLst>
                  </pic:spPr>
                </pic:pic>
              </a:graphicData>
            </a:graphic>
          </wp:inline>
        </w:drawing>
      </w:r>
    </w:p>
    <w:p w14:paraId="44FD62CE" w14:textId="4EEC828F" w:rsidR="00235133" w:rsidRDefault="00235133" w:rsidP="00682FCA">
      <w:pPr>
        <w:spacing w:before="100" w:beforeAutospacing="1" w:after="100" w:afterAutospacing="1" w:line="240" w:lineRule="auto"/>
        <w:rPr>
          <w:rFonts w:ascii="Aptos Display" w:eastAsia="Times New Roman" w:hAnsi="Aptos Display" w:cs="Times New Roman"/>
          <w:kern w:val="0"/>
          <w:lang w:eastAsia="nb-NO"/>
          <w14:ligatures w14:val="none"/>
        </w:rPr>
      </w:pPr>
      <w:r>
        <w:rPr>
          <w:rFonts w:ascii="Aptos Display" w:eastAsia="Times New Roman" w:hAnsi="Aptos Display" w:cs="Times New Roman"/>
          <w:kern w:val="0"/>
          <w:lang w:eastAsia="nb-NO"/>
          <w14:ligatures w14:val="none"/>
        </w:rPr>
        <w:t>Det finnes egne EN-standarder for</w:t>
      </w:r>
      <w:r w:rsidR="004C5290">
        <w:rPr>
          <w:rFonts w:ascii="Aptos Display" w:eastAsia="Times New Roman" w:hAnsi="Aptos Display" w:cs="Times New Roman"/>
          <w:kern w:val="0"/>
          <w:lang w:eastAsia="nb-NO"/>
          <w14:ligatures w14:val="none"/>
        </w:rPr>
        <w:t xml:space="preserve"> eksempel for </w:t>
      </w:r>
      <w:r w:rsidR="00EC10D7">
        <w:rPr>
          <w:rFonts w:ascii="Aptos Display" w:eastAsia="Times New Roman" w:hAnsi="Aptos Display" w:cs="Times New Roman"/>
          <w:kern w:val="0"/>
          <w:lang w:eastAsia="nb-NO"/>
          <w14:ligatures w14:val="none"/>
        </w:rPr>
        <w:t>Statisk elektrisitet (EN60903), Kulde (</w:t>
      </w:r>
      <w:r w:rsidR="007B74CB">
        <w:rPr>
          <w:rFonts w:ascii="Aptos Display" w:eastAsia="Times New Roman" w:hAnsi="Aptos Display" w:cs="Times New Roman"/>
          <w:kern w:val="0"/>
          <w:lang w:eastAsia="nb-NO"/>
          <w14:ligatures w14:val="none"/>
        </w:rPr>
        <w:t>EN511), Ioniserende stråling</w:t>
      </w:r>
      <w:r w:rsidR="00EC5310">
        <w:rPr>
          <w:rFonts w:ascii="Aptos Display" w:eastAsia="Times New Roman" w:hAnsi="Aptos Display" w:cs="Times New Roman"/>
          <w:kern w:val="0"/>
          <w:lang w:eastAsia="nb-NO"/>
          <w14:ligatures w14:val="none"/>
        </w:rPr>
        <w:t xml:space="preserve"> </w:t>
      </w:r>
      <w:r w:rsidR="007B74CB">
        <w:rPr>
          <w:rFonts w:ascii="Aptos Display" w:eastAsia="Times New Roman" w:hAnsi="Aptos Display" w:cs="Times New Roman"/>
          <w:kern w:val="0"/>
          <w:lang w:eastAsia="nb-NO"/>
          <w14:ligatures w14:val="none"/>
        </w:rPr>
        <w:t>(EN421)</w:t>
      </w:r>
      <w:r w:rsidR="00EC5310">
        <w:rPr>
          <w:rFonts w:ascii="Aptos Display" w:eastAsia="Times New Roman" w:hAnsi="Aptos Display" w:cs="Times New Roman"/>
          <w:kern w:val="0"/>
          <w:lang w:eastAsia="nb-NO"/>
          <w14:ligatures w14:val="none"/>
        </w:rPr>
        <w:t xml:space="preserve"> osv.</w:t>
      </w:r>
      <w:r w:rsidR="00761230">
        <w:rPr>
          <w:rFonts w:ascii="Aptos Display" w:eastAsia="Times New Roman" w:hAnsi="Aptos Display" w:cs="Times New Roman"/>
          <w:kern w:val="0"/>
          <w:lang w:eastAsia="nb-NO"/>
          <w14:ligatures w14:val="none"/>
        </w:rPr>
        <w:t xml:space="preserve"> Nedenfor </w:t>
      </w:r>
      <w:r w:rsidR="0005131E">
        <w:rPr>
          <w:rFonts w:ascii="Aptos Display" w:eastAsia="Times New Roman" w:hAnsi="Aptos Display" w:cs="Times New Roman"/>
          <w:kern w:val="0"/>
          <w:lang w:eastAsia="nb-NO"/>
          <w14:ligatures w14:val="none"/>
        </w:rPr>
        <w:t xml:space="preserve">følger en gjennomgang av </w:t>
      </w:r>
      <w:r w:rsidR="007357A3">
        <w:rPr>
          <w:rFonts w:ascii="Aptos Display" w:eastAsia="Times New Roman" w:hAnsi="Aptos Display" w:cs="Times New Roman"/>
          <w:kern w:val="0"/>
          <w:lang w:eastAsia="nb-NO"/>
          <w14:ligatures w14:val="none"/>
        </w:rPr>
        <w:t>en av de som</w:t>
      </w:r>
      <w:r w:rsidR="001002B9">
        <w:rPr>
          <w:rFonts w:ascii="Aptos Display" w:eastAsia="Times New Roman" w:hAnsi="Aptos Display" w:cs="Times New Roman"/>
          <w:kern w:val="0"/>
          <w:lang w:eastAsia="nb-NO"/>
          <w14:ligatures w14:val="none"/>
        </w:rPr>
        <w:t xml:space="preserve"> påvirker oss mest i hverdagen på laboratoriet:</w:t>
      </w:r>
    </w:p>
    <w:p w14:paraId="360CAD55" w14:textId="2D44D71E" w:rsidR="00682FCA" w:rsidRPr="00315EF9" w:rsidRDefault="00682FCA" w:rsidP="00682FCA">
      <w:pPr>
        <w:spacing w:before="100" w:beforeAutospacing="1" w:after="100" w:afterAutospacing="1"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 xml:space="preserve">I situasjoner hvor det er behov for høyere grad av beskyttelse, eksempelvis ved håndtering av cytostatika og når det er forventet kontakt med kjemikalier, bør det benyttes hansker som er </w:t>
      </w:r>
      <w:r w:rsidRPr="004E17DA">
        <w:rPr>
          <w:rFonts w:ascii="Aptos Display" w:eastAsia="Times New Roman" w:hAnsi="Aptos Display" w:cs="Times New Roman"/>
          <w:b/>
          <w:bCs/>
          <w:kern w:val="0"/>
          <w:lang w:eastAsia="nb-NO"/>
          <w14:ligatures w14:val="none"/>
        </w:rPr>
        <w:t>godkjent i henhold til standard for vernehansker mot kjemikalier og mikroorganismer:</w:t>
      </w:r>
      <w:r w:rsidR="006619F2">
        <w:rPr>
          <w:rFonts w:ascii="Aptos Display" w:eastAsia="Times New Roman" w:hAnsi="Aptos Display" w:cs="Times New Roman"/>
          <w:kern w:val="0"/>
          <w:lang w:eastAsia="nb-NO"/>
          <w14:ligatures w14:val="none"/>
        </w:rPr>
        <w:t xml:space="preserve"> </w:t>
      </w:r>
      <w:r w:rsidRPr="004E17DA">
        <w:rPr>
          <w:rFonts w:ascii="Aptos Display" w:eastAsia="Times New Roman" w:hAnsi="Aptos Display" w:cs="Times New Roman"/>
          <w:b/>
          <w:bCs/>
          <w:kern w:val="0"/>
          <w:lang w:eastAsia="nb-NO"/>
          <w14:ligatures w14:val="none"/>
        </w:rPr>
        <w:t>EN-374</w:t>
      </w:r>
      <w:r w:rsidR="00882EC5">
        <w:rPr>
          <w:rFonts w:ascii="Aptos Display" w:eastAsia="Times New Roman" w:hAnsi="Aptos Display" w:cs="Times New Roman"/>
          <w:b/>
          <w:bCs/>
          <w:kern w:val="0"/>
          <w:lang w:eastAsia="nb-NO"/>
          <w14:ligatures w14:val="none"/>
        </w:rPr>
        <w:t xml:space="preserve"> (5 deler)</w:t>
      </w:r>
      <w:r w:rsidRPr="004E17DA">
        <w:rPr>
          <w:rFonts w:ascii="Aptos Display" w:eastAsia="Times New Roman" w:hAnsi="Aptos Display" w:cs="Times New Roman"/>
          <w:kern w:val="0"/>
          <w:lang w:eastAsia="nb-NO"/>
          <w14:ligatures w14:val="none"/>
        </w:rPr>
        <w:t xml:space="preserve">: </w:t>
      </w:r>
    </w:p>
    <w:p w14:paraId="35CC1917" w14:textId="06CB3778" w:rsidR="00682FC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 xml:space="preserve">1: Terminologi og ytelseskrav for beskyttelse mot farlige kjemikalier (EN 374-1) </w:t>
      </w:r>
    </w:p>
    <w:p w14:paraId="6876B7A7" w14:textId="77777777" w:rsidR="00760157" w:rsidRPr="004E17DA" w:rsidRDefault="00760157" w:rsidP="00682FCA">
      <w:pPr>
        <w:spacing w:after="0" w:line="240" w:lineRule="auto"/>
        <w:rPr>
          <w:rFonts w:ascii="Aptos Display" w:eastAsia="Times New Roman" w:hAnsi="Aptos Display" w:cs="Times New Roman"/>
          <w:kern w:val="0"/>
          <w:lang w:eastAsia="nb-NO"/>
          <w14:ligatures w14:val="none"/>
        </w:rPr>
      </w:pPr>
    </w:p>
    <w:p w14:paraId="71EB5607" w14:textId="69F38ABA"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 xml:space="preserve">2: Gjennomtrengingsmotstand (EN 374-2) </w:t>
      </w:r>
    </w:p>
    <w:p w14:paraId="7C7A8A50" w14:textId="532EC9BD" w:rsidR="00682FCA" w:rsidRDefault="00682FCA" w:rsidP="00682FCA">
      <w:pPr>
        <w:spacing w:after="0" w:line="240" w:lineRule="auto"/>
        <w:ind w:left="708" w:firstLine="2"/>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 xml:space="preserve">Tester at hansken er fullstendig tett. På engangshansker testes hansken ved å fylle den med vann eller luft, hvis det lekker ut er hansken mangelfull. </w:t>
      </w:r>
      <w:r w:rsidR="005F6500">
        <w:rPr>
          <w:rFonts w:ascii="Aptos Display" w:eastAsia="Times New Roman" w:hAnsi="Aptos Display" w:cs="Times New Roman"/>
          <w:kern w:val="0"/>
          <w:lang w:eastAsia="nb-NO"/>
          <w14:ligatures w14:val="none"/>
        </w:rPr>
        <w:t>Verdien for dette kan oppgis i AQL-nivå.</w:t>
      </w:r>
    </w:p>
    <w:p w14:paraId="242EBA08" w14:textId="77777777" w:rsidR="007E7334" w:rsidRPr="004E17DA" w:rsidRDefault="007E7334" w:rsidP="00682FCA">
      <w:pPr>
        <w:spacing w:after="0" w:line="240" w:lineRule="auto"/>
        <w:ind w:left="708" w:firstLine="2"/>
        <w:rPr>
          <w:rFonts w:ascii="Aptos Display" w:eastAsia="Times New Roman" w:hAnsi="Aptos Display" w:cs="Times New Roman"/>
          <w:kern w:val="0"/>
          <w:lang w:eastAsia="nb-NO"/>
          <w14:ligatures w14:val="none"/>
        </w:rPr>
      </w:pPr>
    </w:p>
    <w:p w14:paraId="6C50401A" w14:textId="7ABB972E"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 xml:space="preserve">3: Gjennomtrengningsmotstand av flytende kjemikalier (EN 16523-1 (erstatter EN 374-3)) </w:t>
      </w:r>
    </w:p>
    <w:p w14:paraId="7D2F5990" w14:textId="79719E36" w:rsidR="00682FCA" w:rsidRPr="004E17DA" w:rsidRDefault="00682FCA" w:rsidP="00682FCA">
      <w:pPr>
        <w:spacing w:after="0"/>
        <w:ind w:left="708" w:firstLine="2"/>
        <w:rPr>
          <w:rFonts w:ascii="Aptos Display" w:hAnsi="Aptos Display"/>
        </w:rPr>
      </w:pPr>
      <w:r w:rsidRPr="004E17DA">
        <w:rPr>
          <w:rFonts w:ascii="Aptos Display" w:hAnsi="Aptos Display"/>
        </w:rPr>
        <w:t>Måler hvor lang tid det tar for kjemikalier å trenge gjennom hansken på et molekylært nivå (under konstant kontakt</w:t>
      </w:r>
      <w:r w:rsidR="00F7029F" w:rsidRPr="004E17DA">
        <w:rPr>
          <w:rFonts w:ascii="Aptos Display" w:hAnsi="Aptos Display"/>
        </w:rPr>
        <w:t>, ved 25 °C</w:t>
      </w:r>
      <w:r w:rsidRPr="004E17DA">
        <w:rPr>
          <w:rFonts w:ascii="Aptos Display" w:hAnsi="Aptos Display"/>
        </w:rPr>
        <w:t>).  Ytelsesnivået går fra 1-6 der nivå 1 har en gjennombruddstid på &gt;10 min mens nivå 6 har &gt;480 min.</w:t>
      </w:r>
    </w:p>
    <w:p w14:paraId="512F3A5D" w14:textId="167187F0" w:rsidR="00682FCA" w:rsidRPr="004E17DA" w:rsidRDefault="00682FCA" w:rsidP="00682FCA">
      <w:pPr>
        <w:spacing w:after="0"/>
        <w:ind w:left="1416" w:firstLine="708"/>
        <w:rPr>
          <w:rFonts w:ascii="Aptos Display" w:hAnsi="Aptos Display"/>
        </w:rPr>
      </w:pPr>
      <w:r w:rsidRPr="004E17DA">
        <w:rPr>
          <w:rFonts w:ascii="Aptos Display" w:hAnsi="Aptos Display"/>
          <w:noProof/>
        </w:rPr>
        <w:drawing>
          <wp:inline distT="0" distB="0" distL="0" distR="0" wp14:anchorId="52FB8ECE" wp14:editId="46A45648">
            <wp:extent cx="5760720" cy="1457960"/>
            <wp:effectExtent l="0" t="0" r="0" b="0"/>
            <wp:docPr id="1165650739" name="Picture 4">
              <a:extLst xmlns:a="http://schemas.openxmlformats.org/drawingml/2006/main">
                <a:ext uri="{FF2B5EF4-FFF2-40B4-BE49-F238E27FC236}">
                  <a16:creationId xmlns:a16="http://schemas.microsoft.com/office/drawing/2014/main" id="{3A1E9329-BD8A-48B3-BCA4-EA0814EF22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457960"/>
                    </a:xfrm>
                    <a:prstGeom prst="rect">
                      <a:avLst/>
                    </a:prstGeom>
                    <a:noFill/>
                    <a:ln>
                      <a:noFill/>
                    </a:ln>
                  </pic:spPr>
                </pic:pic>
              </a:graphicData>
            </a:graphic>
          </wp:inline>
        </w:drawing>
      </w:r>
    </w:p>
    <w:p w14:paraId="63B31175" w14:textId="2CDD8077" w:rsidR="00682FCA" w:rsidRPr="004E17DA" w:rsidRDefault="00F7029F" w:rsidP="00F7029F">
      <w:pPr>
        <w:spacing w:after="0" w:line="240" w:lineRule="auto"/>
        <w:ind w:left="708" w:firstLine="2"/>
        <w:rPr>
          <w:rFonts w:ascii="Aptos Display" w:eastAsia="Times New Roman" w:hAnsi="Aptos Display" w:cs="Times New Roman"/>
          <w:color w:val="4C94D8" w:themeColor="text2" w:themeTint="80"/>
          <w:kern w:val="0"/>
          <w:lang w:eastAsia="nb-NO"/>
          <w14:ligatures w14:val="none"/>
        </w:rPr>
      </w:pPr>
      <w:r w:rsidRPr="004E17DA">
        <w:rPr>
          <w:rFonts w:ascii="Aptos Display" w:eastAsia="Times New Roman" w:hAnsi="Aptos Display" w:cs="Times New Roman"/>
          <w:color w:val="4C94D8" w:themeColor="text2" w:themeTint="80"/>
          <w:kern w:val="0"/>
          <w:lang w:eastAsia="nb-NO"/>
          <w14:ligatures w14:val="none"/>
        </w:rPr>
        <w:t xml:space="preserve">Husk at når du bruker hanskene vil de få kroppstemperatur, og gjennomtrengningstiden vil da </w:t>
      </w:r>
      <w:r w:rsidR="001B1A78">
        <w:rPr>
          <w:rFonts w:ascii="Aptos Display" w:eastAsia="Times New Roman" w:hAnsi="Aptos Display" w:cs="Times New Roman"/>
          <w:color w:val="4C94D8" w:themeColor="text2" w:themeTint="80"/>
          <w:kern w:val="0"/>
          <w:lang w:eastAsia="nb-NO"/>
          <w14:ligatures w14:val="none"/>
        </w:rPr>
        <w:t xml:space="preserve">kunne </w:t>
      </w:r>
      <w:r w:rsidRPr="004E17DA">
        <w:rPr>
          <w:rFonts w:ascii="Aptos Display" w:eastAsia="Times New Roman" w:hAnsi="Aptos Display" w:cs="Times New Roman"/>
          <w:color w:val="4C94D8" w:themeColor="text2" w:themeTint="80"/>
          <w:kern w:val="0"/>
          <w:lang w:eastAsia="nb-NO"/>
          <w14:ligatures w14:val="none"/>
        </w:rPr>
        <w:t>bli kortere. Bytt derfor hansker i god tid før angitt gjennomtrengningstid!</w:t>
      </w:r>
    </w:p>
    <w:p w14:paraId="3AA9B7DE" w14:textId="77777777" w:rsidR="00F7029F" w:rsidRPr="004E17DA" w:rsidRDefault="00F7029F" w:rsidP="00F7029F">
      <w:pPr>
        <w:spacing w:after="0" w:line="240" w:lineRule="auto"/>
        <w:ind w:left="708" w:firstLine="2"/>
        <w:rPr>
          <w:rFonts w:ascii="Aptos Display" w:eastAsia="Times New Roman" w:hAnsi="Aptos Display" w:cs="Times New Roman"/>
          <w:kern w:val="0"/>
          <w:lang w:eastAsia="nb-NO"/>
          <w14:ligatures w14:val="none"/>
        </w:rPr>
      </w:pPr>
    </w:p>
    <w:p w14:paraId="67B19DBA" w14:textId="7CF0BCDF" w:rsidR="00682FCA" w:rsidRPr="004E17DA" w:rsidRDefault="00682FCA" w:rsidP="00682FCA">
      <w:pPr>
        <w:spacing w:after="0" w:line="240" w:lineRule="auto"/>
        <w:ind w:firstLine="708"/>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Listen over kjemikalier som hanskene</w:t>
      </w:r>
      <w:r w:rsidR="00CB45BC" w:rsidRPr="004E17DA">
        <w:rPr>
          <w:rFonts w:ascii="Aptos Display" w:eastAsia="Times New Roman" w:hAnsi="Aptos Display" w:cs="Times New Roman"/>
          <w:kern w:val="0"/>
          <w:lang w:eastAsia="nb-NO"/>
          <w14:ligatures w14:val="none"/>
        </w:rPr>
        <w:t xml:space="preserve"> kan</w:t>
      </w:r>
      <w:r w:rsidRPr="004E17DA">
        <w:rPr>
          <w:rFonts w:ascii="Aptos Display" w:eastAsia="Times New Roman" w:hAnsi="Aptos Display" w:cs="Times New Roman"/>
          <w:kern w:val="0"/>
          <w:lang w:eastAsia="nb-NO"/>
          <w14:ligatures w14:val="none"/>
        </w:rPr>
        <w:t xml:space="preserve"> testes på:</w:t>
      </w:r>
    </w:p>
    <w:tbl>
      <w:tblPr>
        <w:tblW w:w="7620" w:type="dxa"/>
        <w:tblCellSpacing w:w="15" w:type="dxa"/>
        <w:tblInd w:w="1461" w:type="dxa"/>
        <w:tblCellMar>
          <w:top w:w="15" w:type="dxa"/>
          <w:left w:w="15" w:type="dxa"/>
          <w:bottom w:w="15" w:type="dxa"/>
          <w:right w:w="15" w:type="dxa"/>
        </w:tblCellMar>
        <w:tblLook w:val="04A0" w:firstRow="1" w:lastRow="0" w:firstColumn="1" w:lastColumn="0" w:noHBand="0" w:noVBand="1"/>
      </w:tblPr>
      <w:tblGrid>
        <w:gridCol w:w="450"/>
        <w:gridCol w:w="2700"/>
        <w:gridCol w:w="1320"/>
        <w:gridCol w:w="3150"/>
      </w:tblGrid>
      <w:tr w:rsidR="00682FCA" w:rsidRPr="004E17DA" w14:paraId="54847782" w14:textId="77777777" w:rsidTr="00682FCA">
        <w:trPr>
          <w:tblCellSpacing w:w="15" w:type="dxa"/>
        </w:trPr>
        <w:tc>
          <w:tcPr>
            <w:tcW w:w="405" w:type="dxa"/>
            <w:vAlign w:val="center"/>
            <w:hideMark/>
          </w:tcPr>
          <w:p w14:paraId="23FCDBD0"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lastRenderedPageBreak/>
              <w:t> </w:t>
            </w:r>
          </w:p>
        </w:tc>
        <w:tc>
          <w:tcPr>
            <w:tcW w:w="2670" w:type="dxa"/>
            <w:vAlign w:val="center"/>
            <w:hideMark/>
          </w:tcPr>
          <w:p w14:paraId="36897BFA"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KJEMIKALIE</w:t>
            </w:r>
          </w:p>
        </w:tc>
        <w:tc>
          <w:tcPr>
            <w:tcW w:w="1290" w:type="dxa"/>
            <w:vAlign w:val="center"/>
            <w:hideMark/>
          </w:tcPr>
          <w:p w14:paraId="5365EF40"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 CAS</w:t>
            </w:r>
          </w:p>
        </w:tc>
        <w:tc>
          <w:tcPr>
            <w:tcW w:w="3105" w:type="dxa"/>
            <w:vAlign w:val="center"/>
            <w:hideMark/>
          </w:tcPr>
          <w:p w14:paraId="08984464"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KLASSE</w:t>
            </w:r>
          </w:p>
        </w:tc>
      </w:tr>
      <w:tr w:rsidR="00682FCA" w:rsidRPr="004E17DA" w14:paraId="5A4A5F1C" w14:textId="77777777" w:rsidTr="00682FCA">
        <w:trPr>
          <w:tblCellSpacing w:w="15" w:type="dxa"/>
        </w:trPr>
        <w:tc>
          <w:tcPr>
            <w:tcW w:w="405" w:type="dxa"/>
            <w:vAlign w:val="center"/>
            <w:hideMark/>
          </w:tcPr>
          <w:p w14:paraId="78E9A57E"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A</w:t>
            </w:r>
          </w:p>
        </w:tc>
        <w:tc>
          <w:tcPr>
            <w:tcW w:w="2670" w:type="dxa"/>
            <w:vAlign w:val="center"/>
            <w:hideMark/>
          </w:tcPr>
          <w:p w14:paraId="367EC8DD"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Metanol</w:t>
            </w:r>
          </w:p>
        </w:tc>
        <w:tc>
          <w:tcPr>
            <w:tcW w:w="1290" w:type="dxa"/>
            <w:vAlign w:val="center"/>
            <w:hideMark/>
          </w:tcPr>
          <w:p w14:paraId="38EC83F4"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67-56-1</w:t>
            </w:r>
          </w:p>
        </w:tc>
        <w:tc>
          <w:tcPr>
            <w:tcW w:w="3105" w:type="dxa"/>
            <w:vAlign w:val="center"/>
            <w:hideMark/>
          </w:tcPr>
          <w:p w14:paraId="648EEDEC"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Primær alkohol</w:t>
            </w:r>
          </w:p>
        </w:tc>
      </w:tr>
      <w:tr w:rsidR="00682FCA" w:rsidRPr="004E17DA" w14:paraId="6A039EFB" w14:textId="77777777" w:rsidTr="00682FCA">
        <w:trPr>
          <w:tblCellSpacing w:w="15" w:type="dxa"/>
        </w:trPr>
        <w:tc>
          <w:tcPr>
            <w:tcW w:w="405" w:type="dxa"/>
            <w:vAlign w:val="center"/>
            <w:hideMark/>
          </w:tcPr>
          <w:p w14:paraId="722F8FFB"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B</w:t>
            </w:r>
          </w:p>
        </w:tc>
        <w:tc>
          <w:tcPr>
            <w:tcW w:w="2670" w:type="dxa"/>
            <w:vAlign w:val="center"/>
            <w:hideMark/>
          </w:tcPr>
          <w:p w14:paraId="25B39615"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Aceton</w:t>
            </w:r>
          </w:p>
        </w:tc>
        <w:tc>
          <w:tcPr>
            <w:tcW w:w="1290" w:type="dxa"/>
            <w:vAlign w:val="center"/>
            <w:hideMark/>
          </w:tcPr>
          <w:p w14:paraId="75916DE1"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67-64-1</w:t>
            </w:r>
          </w:p>
        </w:tc>
        <w:tc>
          <w:tcPr>
            <w:tcW w:w="3105" w:type="dxa"/>
            <w:vAlign w:val="center"/>
            <w:hideMark/>
          </w:tcPr>
          <w:p w14:paraId="6731512A"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proofErr w:type="spellStart"/>
            <w:r w:rsidRPr="004E17DA">
              <w:rPr>
                <w:rFonts w:ascii="Aptos Display" w:eastAsia="Times New Roman" w:hAnsi="Aptos Display" w:cs="Times New Roman"/>
                <w:kern w:val="0"/>
                <w:lang w:eastAsia="nb-NO"/>
                <w14:ligatures w14:val="none"/>
              </w:rPr>
              <w:t>Ketone</w:t>
            </w:r>
            <w:proofErr w:type="spellEnd"/>
          </w:p>
        </w:tc>
      </w:tr>
      <w:tr w:rsidR="00682FCA" w:rsidRPr="004E17DA" w14:paraId="6CA7860E" w14:textId="77777777" w:rsidTr="00682FCA">
        <w:trPr>
          <w:tblCellSpacing w:w="15" w:type="dxa"/>
        </w:trPr>
        <w:tc>
          <w:tcPr>
            <w:tcW w:w="405" w:type="dxa"/>
            <w:vAlign w:val="center"/>
            <w:hideMark/>
          </w:tcPr>
          <w:p w14:paraId="27F70483"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C</w:t>
            </w:r>
          </w:p>
        </w:tc>
        <w:tc>
          <w:tcPr>
            <w:tcW w:w="2670" w:type="dxa"/>
            <w:vAlign w:val="center"/>
            <w:hideMark/>
          </w:tcPr>
          <w:p w14:paraId="4A74DCB2"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proofErr w:type="spellStart"/>
            <w:r w:rsidRPr="004E17DA">
              <w:rPr>
                <w:rFonts w:ascii="Aptos Display" w:eastAsia="Times New Roman" w:hAnsi="Aptos Display" w:cs="Times New Roman"/>
                <w:kern w:val="0"/>
                <w:lang w:eastAsia="nb-NO"/>
                <w14:ligatures w14:val="none"/>
              </w:rPr>
              <w:t>Acetonitril</w:t>
            </w:r>
            <w:proofErr w:type="spellEnd"/>
          </w:p>
        </w:tc>
        <w:tc>
          <w:tcPr>
            <w:tcW w:w="1290" w:type="dxa"/>
            <w:vAlign w:val="center"/>
            <w:hideMark/>
          </w:tcPr>
          <w:p w14:paraId="004380F8"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75-05-8</w:t>
            </w:r>
          </w:p>
        </w:tc>
        <w:tc>
          <w:tcPr>
            <w:tcW w:w="3105" w:type="dxa"/>
            <w:vAlign w:val="center"/>
            <w:hideMark/>
          </w:tcPr>
          <w:p w14:paraId="38B75793"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Nitrilforbindelse</w:t>
            </w:r>
          </w:p>
        </w:tc>
      </w:tr>
      <w:tr w:rsidR="00682FCA" w:rsidRPr="004E17DA" w14:paraId="1A540018" w14:textId="77777777" w:rsidTr="00682FCA">
        <w:trPr>
          <w:tblCellSpacing w:w="15" w:type="dxa"/>
        </w:trPr>
        <w:tc>
          <w:tcPr>
            <w:tcW w:w="405" w:type="dxa"/>
            <w:vAlign w:val="center"/>
            <w:hideMark/>
          </w:tcPr>
          <w:p w14:paraId="71CEC5A3"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D</w:t>
            </w:r>
          </w:p>
        </w:tc>
        <w:tc>
          <w:tcPr>
            <w:tcW w:w="2670" w:type="dxa"/>
            <w:vAlign w:val="center"/>
            <w:hideMark/>
          </w:tcPr>
          <w:p w14:paraId="2480F67A"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proofErr w:type="spellStart"/>
            <w:r w:rsidRPr="004E17DA">
              <w:rPr>
                <w:rFonts w:ascii="Aptos Display" w:eastAsia="Times New Roman" w:hAnsi="Aptos Display" w:cs="Times New Roman"/>
                <w:kern w:val="0"/>
                <w:lang w:eastAsia="nb-NO"/>
                <w14:ligatures w14:val="none"/>
              </w:rPr>
              <w:t>Diklormetan</w:t>
            </w:r>
            <w:proofErr w:type="spellEnd"/>
          </w:p>
        </w:tc>
        <w:tc>
          <w:tcPr>
            <w:tcW w:w="1290" w:type="dxa"/>
            <w:vAlign w:val="center"/>
            <w:hideMark/>
          </w:tcPr>
          <w:p w14:paraId="027C6E55"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75-09-2</w:t>
            </w:r>
          </w:p>
        </w:tc>
        <w:tc>
          <w:tcPr>
            <w:tcW w:w="3105" w:type="dxa"/>
            <w:vAlign w:val="center"/>
            <w:hideMark/>
          </w:tcPr>
          <w:p w14:paraId="7AA15558"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Klorert parafin</w:t>
            </w:r>
          </w:p>
        </w:tc>
      </w:tr>
      <w:tr w:rsidR="00682FCA" w:rsidRPr="004E17DA" w14:paraId="4982DA5A" w14:textId="77777777" w:rsidTr="00682FCA">
        <w:trPr>
          <w:tblCellSpacing w:w="15" w:type="dxa"/>
        </w:trPr>
        <w:tc>
          <w:tcPr>
            <w:tcW w:w="405" w:type="dxa"/>
            <w:vAlign w:val="center"/>
            <w:hideMark/>
          </w:tcPr>
          <w:p w14:paraId="23944B26"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E</w:t>
            </w:r>
          </w:p>
        </w:tc>
        <w:tc>
          <w:tcPr>
            <w:tcW w:w="2670" w:type="dxa"/>
            <w:vAlign w:val="center"/>
            <w:hideMark/>
          </w:tcPr>
          <w:p w14:paraId="0B13ADA6"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proofErr w:type="spellStart"/>
            <w:r w:rsidRPr="004E17DA">
              <w:rPr>
                <w:rFonts w:ascii="Aptos Display" w:eastAsia="Times New Roman" w:hAnsi="Aptos Display" w:cs="Times New Roman"/>
                <w:kern w:val="0"/>
                <w:lang w:eastAsia="nb-NO"/>
                <w14:ligatures w14:val="none"/>
              </w:rPr>
              <w:t>Karbondisulfid</w:t>
            </w:r>
            <w:proofErr w:type="spellEnd"/>
          </w:p>
        </w:tc>
        <w:tc>
          <w:tcPr>
            <w:tcW w:w="1290" w:type="dxa"/>
            <w:vAlign w:val="center"/>
            <w:hideMark/>
          </w:tcPr>
          <w:p w14:paraId="0CF97FAA"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75-15-0</w:t>
            </w:r>
          </w:p>
        </w:tc>
        <w:tc>
          <w:tcPr>
            <w:tcW w:w="3105" w:type="dxa"/>
            <w:vAlign w:val="center"/>
            <w:hideMark/>
          </w:tcPr>
          <w:p w14:paraId="5AA365BD"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Organisk svovelforbindelse</w:t>
            </w:r>
          </w:p>
        </w:tc>
      </w:tr>
      <w:tr w:rsidR="00682FCA" w:rsidRPr="004E17DA" w14:paraId="32660A6F" w14:textId="77777777" w:rsidTr="00682FCA">
        <w:trPr>
          <w:tblCellSpacing w:w="15" w:type="dxa"/>
        </w:trPr>
        <w:tc>
          <w:tcPr>
            <w:tcW w:w="405" w:type="dxa"/>
            <w:vAlign w:val="center"/>
            <w:hideMark/>
          </w:tcPr>
          <w:p w14:paraId="3BFF8E9B"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F</w:t>
            </w:r>
          </w:p>
        </w:tc>
        <w:tc>
          <w:tcPr>
            <w:tcW w:w="2670" w:type="dxa"/>
            <w:vAlign w:val="center"/>
            <w:hideMark/>
          </w:tcPr>
          <w:p w14:paraId="560E96F7"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Toluen</w:t>
            </w:r>
          </w:p>
        </w:tc>
        <w:tc>
          <w:tcPr>
            <w:tcW w:w="1290" w:type="dxa"/>
            <w:vAlign w:val="center"/>
            <w:hideMark/>
          </w:tcPr>
          <w:p w14:paraId="08C26696"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108-88-3</w:t>
            </w:r>
          </w:p>
        </w:tc>
        <w:tc>
          <w:tcPr>
            <w:tcW w:w="3105" w:type="dxa"/>
            <w:vAlign w:val="center"/>
            <w:hideMark/>
          </w:tcPr>
          <w:p w14:paraId="24E64EB4"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Aromatisk hydrokarbon</w:t>
            </w:r>
          </w:p>
        </w:tc>
      </w:tr>
      <w:tr w:rsidR="00682FCA" w:rsidRPr="004E17DA" w14:paraId="51240A14" w14:textId="77777777" w:rsidTr="00682FCA">
        <w:trPr>
          <w:tblCellSpacing w:w="15" w:type="dxa"/>
        </w:trPr>
        <w:tc>
          <w:tcPr>
            <w:tcW w:w="405" w:type="dxa"/>
            <w:vAlign w:val="center"/>
            <w:hideMark/>
          </w:tcPr>
          <w:p w14:paraId="0FAB2343"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G</w:t>
            </w:r>
          </w:p>
        </w:tc>
        <w:tc>
          <w:tcPr>
            <w:tcW w:w="2670" w:type="dxa"/>
            <w:vAlign w:val="center"/>
            <w:hideMark/>
          </w:tcPr>
          <w:p w14:paraId="33747A23"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proofErr w:type="spellStart"/>
            <w:r w:rsidRPr="004E17DA">
              <w:rPr>
                <w:rFonts w:ascii="Aptos Display" w:eastAsia="Times New Roman" w:hAnsi="Aptos Display" w:cs="Times New Roman"/>
                <w:kern w:val="0"/>
                <w:lang w:eastAsia="nb-NO"/>
                <w14:ligatures w14:val="none"/>
              </w:rPr>
              <w:t>Diethylamin</w:t>
            </w:r>
            <w:proofErr w:type="spellEnd"/>
          </w:p>
        </w:tc>
        <w:tc>
          <w:tcPr>
            <w:tcW w:w="1290" w:type="dxa"/>
            <w:vAlign w:val="center"/>
            <w:hideMark/>
          </w:tcPr>
          <w:p w14:paraId="167E5E6B"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109-89-7</w:t>
            </w:r>
          </w:p>
        </w:tc>
        <w:tc>
          <w:tcPr>
            <w:tcW w:w="3105" w:type="dxa"/>
            <w:vAlign w:val="center"/>
            <w:hideMark/>
          </w:tcPr>
          <w:p w14:paraId="08F8F036"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Amin</w:t>
            </w:r>
          </w:p>
        </w:tc>
      </w:tr>
      <w:tr w:rsidR="00682FCA" w:rsidRPr="004E17DA" w14:paraId="288BB967" w14:textId="77777777" w:rsidTr="00682FCA">
        <w:trPr>
          <w:tblCellSpacing w:w="15" w:type="dxa"/>
        </w:trPr>
        <w:tc>
          <w:tcPr>
            <w:tcW w:w="405" w:type="dxa"/>
            <w:vAlign w:val="center"/>
            <w:hideMark/>
          </w:tcPr>
          <w:p w14:paraId="6EA37F86"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H</w:t>
            </w:r>
          </w:p>
        </w:tc>
        <w:tc>
          <w:tcPr>
            <w:tcW w:w="2670" w:type="dxa"/>
            <w:vAlign w:val="center"/>
            <w:hideMark/>
          </w:tcPr>
          <w:p w14:paraId="116024DA"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Tetrahydrofuran</w:t>
            </w:r>
          </w:p>
        </w:tc>
        <w:tc>
          <w:tcPr>
            <w:tcW w:w="1290" w:type="dxa"/>
            <w:vAlign w:val="center"/>
            <w:hideMark/>
          </w:tcPr>
          <w:p w14:paraId="30728BB3"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109-99-9</w:t>
            </w:r>
          </w:p>
        </w:tc>
        <w:tc>
          <w:tcPr>
            <w:tcW w:w="3105" w:type="dxa"/>
            <w:vAlign w:val="center"/>
            <w:hideMark/>
          </w:tcPr>
          <w:p w14:paraId="356616F6" w14:textId="7EE63888"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Heterosyklisk</w:t>
            </w:r>
            <w:r w:rsidR="00FA099D">
              <w:rPr>
                <w:rFonts w:ascii="Aptos Display" w:eastAsia="Times New Roman" w:hAnsi="Aptos Display" w:cs="Times New Roman"/>
                <w:kern w:val="0"/>
                <w:lang w:eastAsia="nb-NO"/>
                <w14:ligatures w14:val="none"/>
              </w:rPr>
              <w:t>-</w:t>
            </w:r>
            <w:r w:rsidRPr="004E17DA">
              <w:rPr>
                <w:rFonts w:ascii="Aptos Display" w:eastAsia="Times New Roman" w:hAnsi="Aptos Display" w:cs="Times New Roman"/>
                <w:kern w:val="0"/>
                <w:lang w:eastAsia="nb-NO"/>
                <w14:ligatures w14:val="none"/>
              </w:rPr>
              <w:t xml:space="preserve"> og eter</w:t>
            </w:r>
            <w:r w:rsidR="00FA099D">
              <w:rPr>
                <w:rFonts w:ascii="Aptos Display" w:eastAsia="Times New Roman" w:hAnsi="Aptos Display" w:cs="Times New Roman"/>
                <w:kern w:val="0"/>
                <w:lang w:eastAsia="nb-NO"/>
                <w14:ligatures w14:val="none"/>
              </w:rPr>
              <w:t>-</w:t>
            </w:r>
            <w:r w:rsidRPr="004E17DA">
              <w:rPr>
                <w:rFonts w:ascii="Aptos Display" w:eastAsia="Times New Roman" w:hAnsi="Aptos Display" w:cs="Times New Roman"/>
                <w:kern w:val="0"/>
                <w:lang w:eastAsia="nb-NO"/>
                <w14:ligatures w14:val="none"/>
              </w:rPr>
              <w:t>forbindelse</w:t>
            </w:r>
          </w:p>
        </w:tc>
      </w:tr>
      <w:tr w:rsidR="00682FCA" w:rsidRPr="004E17DA" w14:paraId="752A45D4" w14:textId="77777777" w:rsidTr="00682FCA">
        <w:trPr>
          <w:tblCellSpacing w:w="15" w:type="dxa"/>
        </w:trPr>
        <w:tc>
          <w:tcPr>
            <w:tcW w:w="405" w:type="dxa"/>
            <w:vAlign w:val="center"/>
            <w:hideMark/>
          </w:tcPr>
          <w:p w14:paraId="13547CB0"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I</w:t>
            </w:r>
          </w:p>
        </w:tc>
        <w:tc>
          <w:tcPr>
            <w:tcW w:w="2670" w:type="dxa"/>
            <w:vAlign w:val="center"/>
            <w:hideMark/>
          </w:tcPr>
          <w:p w14:paraId="2B401E5E"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Etylacetat</w:t>
            </w:r>
          </w:p>
        </w:tc>
        <w:tc>
          <w:tcPr>
            <w:tcW w:w="1290" w:type="dxa"/>
            <w:vAlign w:val="center"/>
            <w:hideMark/>
          </w:tcPr>
          <w:p w14:paraId="55D9B8FD"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141-78-6</w:t>
            </w:r>
          </w:p>
        </w:tc>
        <w:tc>
          <w:tcPr>
            <w:tcW w:w="3105" w:type="dxa"/>
            <w:vAlign w:val="center"/>
            <w:hideMark/>
          </w:tcPr>
          <w:p w14:paraId="1C9AAEA2"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Ester</w:t>
            </w:r>
          </w:p>
        </w:tc>
      </w:tr>
      <w:tr w:rsidR="00682FCA" w:rsidRPr="004E17DA" w14:paraId="1A381F04" w14:textId="77777777" w:rsidTr="00682FCA">
        <w:trPr>
          <w:tblCellSpacing w:w="15" w:type="dxa"/>
        </w:trPr>
        <w:tc>
          <w:tcPr>
            <w:tcW w:w="405" w:type="dxa"/>
            <w:vAlign w:val="center"/>
            <w:hideMark/>
          </w:tcPr>
          <w:p w14:paraId="71C5D311"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J</w:t>
            </w:r>
          </w:p>
        </w:tc>
        <w:tc>
          <w:tcPr>
            <w:tcW w:w="2670" w:type="dxa"/>
            <w:vAlign w:val="center"/>
            <w:hideMark/>
          </w:tcPr>
          <w:p w14:paraId="4D3F3986"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n-</w:t>
            </w:r>
            <w:proofErr w:type="spellStart"/>
            <w:r w:rsidRPr="004E17DA">
              <w:rPr>
                <w:rFonts w:ascii="Aptos Display" w:eastAsia="Times New Roman" w:hAnsi="Aptos Display" w:cs="Times New Roman"/>
                <w:kern w:val="0"/>
                <w:lang w:eastAsia="nb-NO"/>
                <w14:ligatures w14:val="none"/>
              </w:rPr>
              <w:t>Heptane</w:t>
            </w:r>
            <w:proofErr w:type="spellEnd"/>
          </w:p>
        </w:tc>
        <w:tc>
          <w:tcPr>
            <w:tcW w:w="1290" w:type="dxa"/>
            <w:vAlign w:val="center"/>
            <w:hideMark/>
          </w:tcPr>
          <w:p w14:paraId="0D8E9762"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142-82-5</w:t>
            </w:r>
          </w:p>
        </w:tc>
        <w:tc>
          <w:tcPr>
            <w:tcW w:w="3105" w:type="dxa"/>
            <w:vAlign w:val="center"/>
            <w:hideMark/>
          </w:tcPr>
          <w:p w14:paraId="32524BF1"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Mettet hydrokarbon</w:t>
            </w:r>
          </w:p>
        </w:tc>
      </w:tr>
      <w:tr w:rsidR="00682FCA" w:rsidRPr="004E17DA" w14:paraId="78F49EA9" w14:textId="77777777" w:rsidTr="00682FCA">
        <w:trPr>
          <w:tblCellSpacing w:w="15" w:type="dxa"/>
        </w:trPr>
        <w:tc>
          <w:tcPr>
            <w:tcW w:w="405" w:type="dxa"/>
            <w:vAlign w:val="center"/>
            <w:hideMark/>
          </w:tcPr>
          <w:p w14:paraId="760A9459"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K</w:t>
            </w:r>
          </w:p>
        </w:tc>
        <w:tc>
          <w:tcPr>
            <w:tcW w:w="2670" w:type="dxa"/>
            <w:vAlign w:val="center"/>
            <w:hideMark/>
          </w:tcPr>
          <w:p w14:paraId="0EEA0782"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Natriumhydroksid 40%</w:t>
            </w:r>
          </w:p>
        </w:tc>
        <w:tc>
          <w:tcPr>
            <w:tcW w:w="1290" w:type="dxa"/>
            <w:vAlign w:val="center"/>
            <w:hideMark/>
          </w:tcPr>
          <w:p w14:paraId="432EAC5D"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1310-73-2</w:t>
            </w:r>
          </w:p>
        </w:tc>
        <w:tc>
          <w:tcPr>
            <w:tcW w:w="3105" w:type="dxa"/>
            <w:vAlign w:val="center"/>
            <w:hideMark/>
          </w:tcPr>
          <w:p w14:paraId="70975714"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Uorganisk base</w:t>
            </w:r>
          </w:p>
        </w:tc>
      </w:tr>
      <w:tr w:rsidR="00682FCA" w:rsidRPr="004E17DA" w14:paraId="4F1AE06E" w14:textId="77777777" w:rsidTr="00682FCA">
        <w:trPr>
          <w:tblCellSpacing w:w="15" w:type="dxa"/>
        </w:trPr>
        <w:tc>
          <w:tcPr>
            <w:tcW w:w="405" w:type="dxa"/>
            <w:vAlign w:val="center"/>
            <w:hideMark/>
          </w:tcPr>
          <w:p w14:paraId="5B77B819"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L</w:t>
            </w:r>
          </w:p>
        </w:tc>
        <w:tc>
          <w:tcPr>
            <w:tcW w:w="2670" w:type="dxa"/>
            <w:vAlign w:val="center"/>
            <w:hideMark/>
          </w:tcPr>
          <w:p w14:paraId="1ADE76EB"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Svovelsyre 96%</w:t>
            </w:r>
          </w:p>
        </w:tc>
        <w:tc>
          <w:tcPr>
            <w:tcW w:w="1290" w:type="dxa"/>
            <w:vAlign w:val="center"/>
            <w:hideMark/>
          </w:tcPr>
          <w:p w14:paraId="6384D50F"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7664-93-9</w:t>
            </w:r>
          </w:p>
        </w:tc>
        <w:tc>
          <w:tcPr>
            <w:tcW w:w="3105" w:type="dxa"/>
            <w:vAlign w:val="center"/>
            <w:hideMark/>
          </w:tcPr>
          <w:p w14:paraId="79EE896C"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Uorganisk mineralsyre, oksiderende</w:t>
            </w:r>
          </w:p>
        </w:tc>
      </w:tr>
      <w:tr w:rsidR="00682FCA" w:rsidRPr="004E17DA" w14:paraId="764AB8AB" w14:textId="77777777" w:rsidTr="00682FCA">
        <w:trPr>
          <w:tblCellSpacing w:w="15" w:type="dxa"/>
        </w:trPr>
        <w:tc>
          <w:tcPr>
            <w:tcW w:w="405" w:type="dxa"/>
            <w:vAlign w:val="center"/>
            <w:hideMark/>
          </w:tcPr>
          <w:p w14:paraId="5520C0E3"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M</w:t>
            </w:r>
          </w:p>
        </w:tc>
        <w:tc>
          <w:tcPr>
            <w:tcW w:w="2670" w:type="dxa"/>
            <w:vAlign w:val="center"/>
            <w:hideMark/>
          </w:tcPr>
          <w:p w14:paraId="6494B801"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Salpetersyre 65%</w:t>
            </w:r>
          </w:p>
        </w:tc>
        <w:tc>
          <w:tcPr>
            <w:tcW w:w="1290" w:type="dxa"/>
            <w:vAlign w:val="center"/>
            <w:hideMark/>
          </w:tcPr>
          <w:p w14:paraId="3863DBA6"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7697-37-2</w:t>
            </w:r>
          </w:p>
        </w:tc>
        <w:tc>
          <w:tcPr>
            <w:tcW w:w="3105" w:type="dxa"/>
            <w:vAlign w:val="center"/>
            <w:hideMark/>
          </w:tcPr>
          <w:p w14:paraId="69EE4E9C"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Uorganisk mineralsyre, oksiderende</w:t>
            </w:r>
          </w:p>
        </w:tc>
      </w:tr>
      <w:tr w:rsidR="00682FCA" w:rsidRPr="004E17DA" w14:paraId="3B42A88A" w14:textId="77777777" w:rsidTr="00682FCA">
        <w:trPr>
          <w:tblCellSpacing w:w="15" w:type="dxa"/>
        </w:trPr>
        <w:tc>
          <w:tcPr>
            <w:tcW w:w="405" w:type="dxa"/>
            <w:vAlign w:val="center"/>
            <w:hideMark/>
          </w:tcPr>
          <w:p w14:paraId="2B9B7DF2"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N</w:t>
            </w:r>
          </w:p>
        </w:tc>
        <w:tc>
          <w:tcPr>
            <w:tcW w:w="2670" w:type="dxa"/>
            <w:vAlign w:val="center"/>
            <w:hideMark/>
          </w:tcPr>
          <w:p w14:paraId="073B7047"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Eddiksyre 99%</w:t>
            </w:r>
          </w:p>
        </w:tc>
        <w:tc>
          <w:tcPr>
            <w:tcW w:w="1290" w:type="dxa"/>
            <w:vAlign w:val="center"/>
            <w:hideMark/>
          </w:tcPr>
          <w:p w14:paraId="0E4F1296"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64-19-7</w:t>
            </w:r>
          </w:p>
        </w:tc>
        <w:tc>
          <w:tcPr>
            <w:tcW w:w="3105" w:type="dxa"/>
            <w:vAlign w:val="center"/>
            <w:hideMark/>
          </w:tcPr>
          <w:p w14:paraId="0A88C037"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Organisk syre</w:t>
            </w:r>
          </w:p>
        </w:tc>
      </w:tr>
      <w:tr w:rsidR="00682FCA" w:rsidRPr="004E17DA" w14:paraId="5F691074" w14:textId="77777777" w:rsidTr="00682FCA">
        <w:trPr>
          <w:tblCellSpacing w:w="15" w:type="dxa"/>
        </w:trPr>
        <w:tc>
          <w:tcPr>
            <w:tcW w:w="405" w:type="dxa"/>
            <w:vAlign w:val="center"/>
            <w:hideMark/>
          </w:tcPr>
          <w:p w14:paraId="07489692"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O</w:t>
            </w:r>
          </w:p>
        </w:tc>
        <w:tc>
          <w:tcPr>
            <w:tcW w:w="2670" w:type="dxa"/>
            <w:vAlign w:val="center"/>
            <w:hideMark/>
          </w:tcPr>
          <w:p w14:paraId="06C509C1"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Ammoniumhydroksid 25%</w:t>
            </w:r>
          </w:p>
        </w:tc>
        <w:tc>
          <w:tcPr>
            <w:tcW w:w="1290" w:type="dxa"/>
            <w:vAlign w:val="center"/>
            <w:hideMark/>
          </w:tcPr>
          <w:p w14:paraId="5013D2C1"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1336-21-6</w:t>
            </w:r>
          </w:p>
        </w:tc>
        <w:tc>
          <w:tcPr>
            <w:tcW w:w="3105" w:type="dxa"/>
            <w:vAlign w:val="center"/>
            <w:hideMark/>
          </w:tcPr>
          <w:p w14:paraId="2389254F"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Organisk base</w:t>
            </w:r>
          </w:p>
        </w:tc>
      </w:tr>
      <w:tr w:rsidR="00682FCA" w:rsidRPr="004E17DA" w14:paraId="4109C319" w14:textId="77777777" w:rsidTr="00682FCA">
        <w:trPr>
          <w:tblCellSpacing w:w="15" w:type="dxa"/>
        </w:trPr>
        <w:tc>
          <w:tcPr>
            <w:tcW w:w="405" w:type="dxa"/>
            <w:vAlign w:val="center"/>
            <w:hideMark/>
          </w:tcPr>
          <w:p w14:paraId="5CA91A4A"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P</w:t>
            </w:r>
          </w:p>
        </w:tc>
        <w:tc>
          <w:tcPr>
            <w:tcW w:w="2670" w:type="dxa"/>
            <w:vAlign w:val="center"/>
            <w:hideMark/>
          </w:tcPr>
          <w:p w14:paraId="5E627527"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Hydrogenperoksid 30%</w:t>
            </w:r>
          </w:p>
        </w:tc>
        <w:tc>
          <w:tcPr>
            <w:tcW w:w="1290" w:type="dxa"/>
            <w:vAlign w:val="center"/>
            <w:hideMark/>
          </w:tcPr>
          <w:p w14:paraId="02354512"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7722-84-1</w:t>
            </w:r>
          </w:p>
        </w:tc>
        <w:tc>
          <w:tcPr>
            <w:tcW w:w="3105" w:type="dxa"/>
            <w:vAlign w:val="center"/>
            <w:hideMark/>
          </w:tcPr>
          <w:p w14:paraId="50A7663B"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Peroksid</w:t>
            </w:r>
          </w:p>
        </w:tc>
      </w:tr>
      <w:tr w:rsidR="00682FCA" w:rsidRPr="004E17DA" w14:paraId="62AF0B51" w14:textId="77777777" w:rsidTr="00682FCA">
        <w:trPr>
          <w:tblCellSpacing w:w="15" w:type="dxa"/>
        </w:trPr>
        <w:tc>
          <w:tcPr>
            <w:tcW w:w="405" w:type="dxa"/>
            <w:vAlign w:val="center"/>
            <w:hideMark/>
          </w:tcPr>
          <w:p w14:paraId="2E8E6283"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S</w:t>
            </w:r>
          </w:p>
        </w:tc>
        <w:tc>
          <w:tcPr>
            <w:tcW w:w="2670" w:type="dxa"/>
            <w:vAlign w:val="center"/>
            <w:hideMark/>
          </w:tcPr>
          <w:p w14:paraId="2765F98F"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Hydrogenfluorsyre 40%</w:t>
            </w:r>
          </w:p>
        </w:tc>
        <w:tc>
          <w:tcPr>
            <w:tcW w:w="1290" w:type="dxa"/>
            <w:vAlign w:val="center"/>
            <w:hideMark/>
          </w:tcPr>
          <w:p w14:paraId="0E239EBF"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7664-39-3</w:t>
            </w:r>
          </w:p>
        </w:tc>
        <w:tc>
          <w:tcPr>
            <w:tcW w:w="3105" w:type="dxa"/>
            <w:vAlign w:val="center"/>
            <w:hideMark/>
          </w:tcPr>
          <w:p w14:paraId="078DB6EB"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Uorganisk mineralsyre</w:t>
            </w:r>
          </w:p>
        </w:tc>
      </w:tr>
      <w:tr w:rsidR="00682FCA" w:rsidRPr="004E17DA" w14:paraId="121FF599" w14:textId="77777777" w:rsidTr="00682FCA">
        <w:trPr>
          <w:tblCellSpacing w:w="15" w:type="dxa"/>
        </w:trPr>
        <w:tc>
          <w:tcPr>
            <w:tcW w:w="405" w:type="dxa"/>
            <w:vAlign w:val="center"/>
            <w:hideMark/>
          </w:tcPr>
          <w:p w14:paraId="70521A3C"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T</w:t>
            </w:r>
          </w:p>
        </w:tc>
        <w:tc>
          <w:tcPr>
            <w:tcW w:w="2670" w:type="dxa"/>
            <w:vAlign w:val="center"/>
            <w:hideMark/>
          </w:tcPr>
          <w:p w14:paraId="18C55AA6"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Formaldehyd 37%</w:t>
            </w:r>
          </w:p>
        </w:tc>
        <w:tc>
          <w:tcPr>
            <w:tcW w:w="1290" w:type="dxa"/>
            <w:vAlign w:val="center"/>
            <w:hideMark/>
          </w:tcPr>
          <w:p w14:paraId="663346AD"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50-00-0</w:t>
            </w:r>
          </w:p>
        </w:tc>
        <w:tc>
          <w:tcPr>
            <w:tcW w:w="3105" w:type="dxa"/>
            <w:vAlign w:val="center"/>
            <w:hideMark/>
          </w:tcPr>
          <w:p w14:paraId="582B59C6"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Aldehyd</w:t>
            </w:r>
          </w:p>
        </w:tc>
      </w:tr>
    </w:tbl>
    <w:p w14:paraId="6F1D9AF0" w14:textId="77777777"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 </w:t>
      </w:r>
    </w:p>
    <w:p w14:paraId="5DCDD768" w14:textId="77777777" w:rsidR="00682FCA" w:rsidRPr="004E17DA" w:rsidRDefault="00682FCA" w:rsidP="00682FCA">
      <w:pPr>
        <w:spacing w:after="0" w:line="240" w:lineRule="auto"/>
        <w:ind w:firstLine="708"/>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b/>
          <w:bCs/>
          <w:kern w:val="0"/>
          <w:lang w:eastAsia="nb-NO"/>
          <w14:ligatures w14:val="none"/>
        </w:rPr>
        <w:t xml:space="preserve">Resultatet av testen </w:t>
      </w:r>
      <w:r w:rsidRPr="004E17DA">
        <w:rPr>
          <w:rFonts w:ascii="Aptos Display" w:eastAsia="Times New Roman" w:hAnsi="Aptos Display" w:cs="Times New Roman"/>
          <w:kern w:val="0"/>
          <w:lang w:eastAsia="nb-NO"/>
          <w14:ligatures w14:val="none"/>
        </w:rPr>
        <w:t>klassifiserer hanskene som Type A, B eller C under EN 374-1.</w:t>
      </w:r>
    </w:p>
    <w:p w14:paraId="3CCD921D" w14:textId="77777777" w:rsidR="00682FCA" w:rsidRPr="004E17DA" w:rsidRDefault="00682FCA" w:rsidP="00682FCA">
      <w:pPr>
        <w:spacing w:after="0" w:line="240" w:lineRule="auto"/>
        <w:ind w:left="708"/>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b/>
          <w:bCs/>
          <w:kern w:val="0"/>
          <w:lang w:eastAsia="nb-NO"/>
          <w14:ligatures w14:val="none"/>
        </w:rPr>
        <w:t xml:space="preserve">EN 374-1: Type A </w:t>
      </w:r>
      <w:r w:rsidRPr="004E17DA">
        <w:rPr>
          <w:rFonts w:ascii="Aptos Display" w:eastAsia="Times New Roman" w:hAnsi="Aptos Display" w:cs="Times New Roman"/>
          <w:kern w:val="0"/>
          <w:lang w:eastAsia="nb-NO"/>
          <w14:ligatures w14:val="none"/>
        </w:rPr>
        <w:t>- Minimum 6 kjemikalier må oppnå minst ytelsesnivå 2 (&gt;30 min).</w:t>
      </w:r>
      <w:r w:rsidRPr="004E17DA">
        <w:rPr>
          <w:rFonts w:ascii="Aptos Display" w:eastAsia="Times New Roman" w:hAnsi="Aptos Display" w:cs="Times New Roman"/>
          <w:kern w:val="0"/>
          <w:lang w:eastAsia="nb-NO"/>
          <w14:ligatures w14:val="none"/>
        </w:rPr>
        <w:br/>
      </w:r>
      <w:r w:rsidRPr="004E17DA">
        <w:rPr>
          <w:rFonts w:ascii="Aptos Display" w:eastAsia="Times New Roman" w:hAnsi="Aptos Display" w:cs="Times New Roman"/>
          <w:b/>
          <w:bCs/>
          <w:kern w:val="0"/>
          <w:lang w:eastAsia="nb-NO"/>
          <w14:ligatures w14:val="none"/>
        </w:rPr>
        <w:t>EN 374-1: Type B</w:t>
      </w:r>
      <w:r w:rsidRPr="004E17DA">
        <w:rPr>
          <w:rFonts w:ascii="Aptos Display" w:eastAsia="Times New Roman" w:hAnsi="Aptos Display" w:cs="Times New Roman"/>
          <w:kern w:val="0"/>
          <w:lang w:eastAsia="nb-NO"/>
          <w14:ligatures w14:val="none"/>
        </w:rPr>
        <w:t xml:space="preserve"> - Minimum 3 kjemikalier må oppnå minst ytelsesnivå 2 (&gt;30 min).</w:t>
      </w:r>
      <w:r w:rsidRPr="004E17DA">
        <w:rPr>
          <w:rFonts w:ascii="Aptos Display" w:eastAsia="Times New Roman" w:hAnsi="Aptos Display" w:cs="Times New Roman"/>
          <w:kern w:val="0"/>
          <w:lang w:eastAsia="nb-NO"/>
          <w14:ligatures w14:val="none"/>
        </w:rPr>
        <w:br/>
      </w:r>
      <w:r w:rsidRPr="004E17DA">
        <w:rPr>
          <w:rFonts w:ascii="Aptos Display" w:eastAsia="Times New Roman" w:hAnsi="Aptos Display" w:cs="Times New Roman"/>
          <w:b/>
          <w:bCs/>
          <w:kern w:val="0"/>
          <w:lang w:eastAsia="nb-NO"/>
          <w14:ligatures w14:val="none"/>
        </w:rPr>
        <w:t xml:space="preserve">EN 374-1: Type C </w:t>
      </w:r>
      <w:r w:rsidRPr="004E17DA">
        <w:rPr>
          <w:rFonts w:ascii="Aptos Display" w:eastAsia="Times New Roman" w:hAnsi="Aptos Display" w:cs="Times New Roman"/>
          <w:kern w:val="0"/>
          <w:lang w:eastAsia="nb-NO"/>
          <w14:ligatures w14:val="none"/>
        </w:rPr>
        <w:t>- Minimum 1 kjemikalie må oppnå minst ytelsesnivå 1 (&gt;10 min).</w:t>
      </w:r>
    </w:p>
    <w:p w14:paraId="356B3A80" w14:textId="77777777" w:rsidR="00682FCA" w:rsidRPr="004E17DA" w:rsidRDefault="00682FCA" w:rsidP="00682FCA">
      <w:pPr>
        <w:spacing w:after="0" w:line="240" w:lineRule="auto"/>
        <w:ind w:firstLine="708"/>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Hvilke kjemikalier hansken er testet for vises i en bokstavkode. Eksempel:</w:t>
      </w:r>
    </w:p>
    <w:p w14:paraId="6DB023C7" w14:textId="47188756" w:rsidR="00682FCA" w:rsidRPr="004E17DA" w:rsidRDefault="00682FCA" w:rsidP="00682FCA">
      <w:pPr>
        <w:spacing w:after="0" w:line="240" w:lineRule="auto"/>
        <w:ind w:left="1416" w:firstLine="708"/>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noProof/>
          <w:kern w:val="0"/>
          <w:lang w:eastAsia="nb-NO"/>
          <w14:ligatures w14:val="none"/>
        </w:rPr>
        <w:drawing>
          <wp:inline distT="0" distB="0" distL="0" distR="0" wp14:anchorId="047AFC57" wp14:editId="737E15D5">
            <wp:extent cx="3473450" cy="1181100"/>
            <wp:effectExtent l="0" t="0" r="0" b="0"/>
            <wp:docPr id="683562505" name="Picture 3">
              <a:extLst xmlns:a="http://schemas.openxmlformats.org/drawingml/2006/main">
                <a:ext uri="{FF2B5EF4-FFF2-40B4-BE49-F238E27FC236}">
                  <a16:creationId xmlns:a16="http://schemas.microsoft.com/office/drawing/2014/main" id="{99BC7018-C9A5-46E5-B00F-B079F78BF4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73450" cy="1181100"/>
                    </a:xfrm>
                    <a:prstGeom prst="rect">
                      <a:avLst/>
                    </a:prstGeom>
                    <a:noFill/>
                    <a:ln>
                      <a:noFill/>
                    </a:ln>
                  </pic:spPr>
                </pic:pic>
              </a:graphicData>
            </a:graphic>
          </wp:inline>
        </w:drawing>
      </w:r>
    </w:p>
    <w:p w14:paraId="7BA81765" w14:textId="36FC1072" w:rsidR="00682FCA" w:rsidRPr="00AB6431" w:rsidRDefault="001F02F5" w:rsidP="00682FCA">
      <w:pPr>
        <w:spacing w:after="0" w:line="240" w:lineRule="auto"/>
        <w:rPr>
          <w:rFonts w:ascii="Aptos Display" w:eastAsia="Times New Roman" w:hAnsi="Aptos Display" w:cs="Times New Roman"/>
          <w:color w:val="4C94D8" w:themeColor="text2" w:themeTint="80"/>
          <w:kern w:val="0"/>
          <w:lang w:eastAsia="nb-NO"/>
          <w14:ligatures w14:val="none"/>
        </w:rPr>
      </w:pPr>
      <w:r w:rsidRPr="00AB6431">
        <w:rPr>
          <w:rFonts w:ascii="Aptos Display" w:hAnsi="Aptos Display" w:cs="Arial"/>
          <w:color w:val="4C94D8" w:themeColor="text2" w:themeTint="80"/>
        </w:rPr>
        <w:t>Husk at produsentens data gjelder rene kjemikalier, ikke blandinger.</w:t>
      </w:r>
      <w:r w:rsidRPr="00AB6431">
        <w:rPr>
          <w:rFonts w:ascii="Arial" w:hAnsi="Arial" w:cs="Arial"/>
          <w:color w:val="4C94D8" w:themeColor="text2" w:themeTint="80"/>
        </w:rPr>
        <w:t> </w:t>
      </w:r>
    </w:p>
    <w:p w14:paraId="0ED80C69" w14:textId="1160CFAB"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ab/>
      </w:r>
    </w:p>
    <w:p w14:paraId="5DB8257F" w14:textId="0093B8DF" w:rsidR="00682FCA" w:rsidRPr="004E17DA" w:rsidRDefault="00682FCA" w:rsidP="00682FCA">
      <w:pPr>
        <w:spacing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 xml:space="preserve">4: Motstand mot kjemisk nedbrytning (EN 374-4) </w:t>
      </w:r>
    </w:p>
    <w:p w14:paraId="75B095DC" w14:textId="13028FE6" w:rsidR="00682FCA" w:rsidRPr="004E17DA" w:rsidRDefault="00682FCA" w:rsidP="00682FCA">
      <w:pPr>
        <w:spacing w:after="0" w:line="240" w:lineRule="auto"/>
        <w:ind w:left="708" w:firstLine="2"/>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I denne testen måles endringen i én eller flere beskyttende egenskaper på hansken på grunn av kontakt med kjemikalien hansken testes mot. Testen måler endringen i % på punkteringsmotstanden til hansken før kontakt med kjemikalien (i en time) og etter.</w:t>
      </w:r>
    </w:p>
    <w:p w14:paraId="763B2D33" w14:textId="71091119" w:rsidR="00682FCA" w:rsidRPr="004E17DA" w:rsidRDefault="00682FCA" w:rsidP="00D87A93">
      <w:pPr>
        <w:spacing w:before="100" w:beforeAutospacing="1" w:after="0"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5: Beskyttelse mot mikroorganismer (EN 374-5)</w:t>
      </w:r>
    </w:p>
    <w:p w14:paraId="7BFCF806" w14:textId="2EF4E531" w:rsidR="00682FCA" w:rsidRPr="004E17DA" w:rsidRDefault="00682FCA" w:rsidP="00D87A93">
      <w:pPr>
        <w:spacing w:after="0" w:line="240" w:lineRule="auto"/>
        <w:ind w:left="708" w:firstLine="2"/>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lastRenderedPageBreak/>
        <w:t>Denne testen måler beskyttelsen hansken har mot sopp, bakterier og virus. Emballasjen til hansken merkes med piktogrammet for mikrobiologisk fare for hansker som beskytter mot sopp og virus. Hvis hansken også tilfredsstiller kravene i virustestmetoden så vil det stå VIRUS under piktogrammet.</w:t>
      </w:r>
    </w:p>
    <w:p w14:paraId="44FD1043" w14:textId="5C581C42" w:rsidR="00475935" w:rsidRPr="004E17DA" w:rsidRDefault="00682FCA" w:rsidP="00052330">
      <w:pPr>
        <w:spacing w:before="100" w:beforeAutospacing="1" w:after="100" w:afterAutospacing="1" w:line="240" w:lineRule="auto"/>
        <w:rPr>
          <w:rFonts w:ascii="Aptos Display" w:hAnsi="Aptos Display"/>
        </w:rPr>
      </w:pPr>
      <w:r w:rsidRPr="004E17DA">
        <w:rPr>
          <w:rFonts w:ascii="Aptos Display" w:hAnsi="Aptos Display"/>
          <w:noProof/>
        </w:rPr>
        <w:drawing>
          <wp:inline distT="0" distB="0" distL="0" distR="0" wp14:anchorId="14315ED7" wp14:editId="45101195">
            <wp:extent cx="1511300" cy="990600"/>
            <wp:effectExtent l="0" t="0" r="0" b="0"/>
            <wp:docPr id="6" name="Picture 2">
              <a:extLst xmlns:a="http://schemas.openxmlformats.org/drawingml/2006/main">
                <a:ext uri="{FF2B5EF4-FFF2-40B4-BE49-F238E27FC236}">
                  <a16:creationId xmlns:a16="http://schemas.microsoft.com/office/drawing/2014/main" id="{984A2825-0840-49A5-89A0-FD2F042AD5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1300" cy="990600"/>
                    </a:xfrm>
                    <a:prstGeom prst="rect">
                      <a:avLst/>
                    </a:prstGeom>
                    <a:noFill/>
                    <a:ln>
                      <a:noFill/>
                    </a:ln>
                  </pic:spPr>
                </pic:pic>
              </a:graphicData>
            </a:graphic>
          </wp:inline>
        </w:drawing>
      </w:r>
      <w:r w:rsidR="00052330" w:rsidRPr="00052330">
        <w:rPr>
          <w:noProof/>
        </w:rPr>
        <w:t xml:space="preserve"> </w:t>
      </w:r>
      <w:r w:rsidR="00052330">
        <w:rPr>
          <w:noProof/>
        </w:rPr>
        <w:drawing>
          <wp:inline distT="0" distB="0" distL="0" distR="0" wp14:anchorId="27429C33" wp14:editId="40AE5C04">
            <wp:extent cx="3968288" cy="901700"/>
            <wp:effectExtent l="0" t="0" r="0" b="0"/>
            <wp:docPr id="641056102" name="Picture 3">
              <a:extLst xmlns:a="http://schemas.openxmlformats.org/drawingml/2006/main">
                <a:ext uri="{FF2B5EF4-FFF2-40B4-BE49-F238E27FC236}">
                  <a16:creationId xmlns:a16="http://schemas.microsoft.com/office/drawing/2014/main" id="{9CEFAA71-2D7D-4B67-93BE-7A546BD748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077" t="11711" b="63568"/>
                    <a:stretch>
                      <a:fillRect/>
                    </a:stretch>
                  </pic:blipFill>
                  <pic:spPr bwMode="auto">
                    <a:xfrm>
                      <a:off x="0" y="0"/>
                      <a:ext cx="3984332" cy="905346"/>
                    </a:xfrm>
                    <a:prstGeom prst="rect">
                      <a:avLst/>
                    </a:prstGeom>
                    <a:noFill/>
                    <a:ln>
                      <a:noFill/>
                    </a:ln>
                    <a:extLst>
                      <a:ext uri="{53640926-AAD7-44D8-BBD7-CCE9431645EC}">
                        <a14:shadowObscured xmlns:a14="http://schemas.microsoft.com/office/drawing/2010/main"/>
                      </a:ext>
                    </a:extLst>
                  </pic:spPr>
                </pic:pic>
              </a:graphicData>
            </a:graphic>
          </wp:inline>
        </w:drawing>
      </w:r>
    </w:p>
    <w:p w14:paraId="32D750EC" w14:textId="77777777" w:rsidR="00682FCA" w:rsidRPr="004E17DA" w:rsidRDefault="00682FCA" w:rsidP="00D27BBF">
      <w:pPr>
        <w:pStyle w:val="Heading2"/>
        <w:rPr>
          <w:rFonts w:eastAsia="Times New Roman"/>
          <w:lang w:eastAsia="nb-NO"/>
        </w:rPr>
      </w:pPr>
      <w:r w:rsidRPr="004E17DA">
        <w:rPr>
          <w:rFonts w:eastAsia="Times New Roman"/>
          <w:lang w:eastAsia="nb-NO"/>
        </w:rPr>
        <w:t>Risikofaktorer knyttet til hanskebruk</w:t>
      </w:r>
    </w:p>
    <w:p w14:paraId="29714B87" w14:textId="33E501F2" w:rsidR="00682FCA" w:rsidRPr="004E17DA" w:rsidRDefault="00682FCA" w:rsidP="00682FCA">
      <w:pPr>
        <w:pStyle w:val="ListParagraph"/>
        <w:numPr>
          <w:ilvl w:val="0"/>
          <w:numId w:val="4"/>
        </w:numPr>
        <w:spacing w:before="100" w:beforeAutospacing="1" w:after="100" w:afterAutospacing="1"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Bruk av hansker kan gi personell en opplevelse av redusert smitterisiko</w:t>
      </w:r>
      <w:r w:rsidR="00B433E0" w:rsidRPr="004E17DA">
        <w:rPr>
          <w:rFonts w:ascii="Aptos Display" w:eastAsia="Times New Roman" w:hAnsi="Aptos Display" w:cs="Times New Roman"/>
          <w:kern w:val="0"/>
          <w:lang w:eastAsia="nb-NO"/>
          <w14:ligatures w14:val="none"/>
        </w:rPr>
        <w:t>/eksponeringsrisiko</w:t>
      </w:r>
      <w:r w:rsidRPr="004E17DA">
        <w:rPr>
          <w:rFonts w:ascii="Aptos Display" w:eastAsia="Times New Roman" w:hAnsi="Aptos Display" w:cs="Times New Roman"/>
          <w:kern w:val="0"/>
          <w:lang w:eastAsia="nb-NO"/>
          <w14:ligatures w14:val="none"/>
        </w:rPr>
        <w:t xml:space="preserve"> for egen person, og studier viser at bruk av hansker reduserer etterlevelse av håndhygieniske anbefalinger.</w:t>
      </w:r>
      <w:r w:rsidRPr="004E17DA">
        <w:rPr>
          <w:rFonts w:ascii="Aptos Display" w:hAnsi="Aptos Display"/>
        </w:rPr>
        <w:t xml:space="preserve"> </w:t>
      </w:r>
      <w:hyperlink r:id="rId16" w:history="1">
        <w:r w:rsidRPr="004E17DA">
          <w:rPr>
            <w:rStyle w:val="Hyperlink"/>
            <w:rFonts w:ascii="Aptos Display" w:eastAsia="Times New Roman" w:hAnsi="Aptos Display" w:cs="Times New Roman"/>
            <w:kern w:val="0"/>
            <w:lang w:eastAsia="nb-NO"/>
            <w14:ligatures w14:val="none"/>
          </w:rPr>
          <w:t>https://vimeo.com/205862286?fl=pl&amp;fe=cm</w:t>
        </w:r>
      </w:hyperlink>
    </w:p>
    <w:p w14:paraId="26E6F9DD" w14:textId="2277AF33" w:rsidR="00682FCA" w:rsidRPr="004E17DA" w:rsidRDefault="00682FCA" w:rsidP="00682FCA">
      <w:pPr>
        <w:pStyle w:val="ListParagraph"/>
        <w:numPr>
          <w:ilvl w:val="0"/>
          <w:numId w:val="4"/>
        </w:numPr>
        <w:spacing w:before="100" w:beforeAutospacing="1" w:after="100" w:afterAutospacing="1"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Feil bruk av hansker gi</w:t>
      </w:r>
      <w:r w:rsidR="00741B4A" w:rsidRPr="004E17DA">
        <w:rPr>
          <w:rFonts w:ascii="Aptos Display" w:eastAsia="Times New Roman" w:hAnsi="Aptos Display" w:cs="Times New Roman"/>
          <w:kern w:val="0"/>
          <w:lang w:eastAsia="nb-NO"/>
          <w14:ligatures w14:val="none"/>
        </w:rPr>
        <w:t>r</w:t>
      </w:r>
      <w:r w:rsidRPr="004E17DA">
        <w:rPr>
          <w:rFonts w:ascii="Aptos Display" w:eastAsia="Times New Roman" w:hAnsi="Aptos Display" w:cs="Times New Roman"/>
          <w:kern w:val="0"/>
          <w:lang w:eastAsia="nb-NO"/>
          <w14:ligatures w14:val="none"/>
        </w:rPr>
        <w:t xml:space="preserve"> økt kontaminering av miljøet ved at </w:t>
      </w:r>
      <w:r w:rsidR="00E012A8" w:rsidRPr="004E17DA">
        <w:rPr>
          <w:rFonts w:ascii="Aptos Display" w:eastAsia="Times New Roman" w:hAnsi="Aptos Display" w:cs="Times New Roman"/>
          <w:kern w:val="0"/>
          <w:lang w:eastAsia="nb-NO"/>
          <w14:ligatures w14:val="none"/>
        </w:rPr>
        <w:t>man</w:t>
      </w:r>
      <w:r w:rsidRPr="004E17DA">
        <w:rPr>
          <w:rFonts w:ascii="Aptos Display" w:eastAsia="Times New Roman" w:hAnsi="Aptos Display" w:cs="Times New Roman"/>
          <w:kern w:val="0"/>
          <w:lang w:eastAsia="nb-NO"/>
          <w14:ligatures w14:val="none"/>
        </w:rPr>
        <w:t xml:space="preserve"> berører inventar og utstyr med urene hansker.</w:t>
      </w:r>
    </w:p>
    <w:p w14:paraId="227BDC10" w14:textId="77777777" w:rsidR="00682FCA" w:rsidRPr="004E17DA" w:rsidRDefault="00682FCA" w:rsidP="00682FCA">
      <w:pPr>
        <w:pStyle w:val="ListParagraph"/>
        <w:numPr>
          <w:ilvl w:val="0"/>
          <w:numId w:val="4"/>
        </w:numPr>
        <w:spacing w:before="100" w:beforeAutospacing="1" w:after="100" w:afterAutospacing="1"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 xml:space="preserve">Ukritisk bruk av hansker fører også til økt forekomst av hudirritasjon. Håndvask etter bruk av hansker reduserer risiko for kontaktdermatitt og allergi, da restkjemikalier fra hansken fjernes. </w:t>
      </w:r>
    </w:p>
    <w:p w14:paraId="3074AA26" w14:textId="5DF6DF0D" w:rsidR="00682FCA" w:rsidRPr="00A51DD1" w:rsidRDefault="00682FCA" w:rsidP="00682FCA">
      <w:pPr>
        <w:pStyle w:val="ListParagraph"/>
        <w:numPr>
          <w:ilvl w:val="0"/>
          <w:numId w:val="4"/>
        </w:numPr>
        <w:spacing w:before="100" w:beforeAutospacing="1" w:after="100" w:afterAutospacing="1" w:line="240" w:lineRule="auto"/>
        <w:rPr>
          <w:rFonts w:ascii="Aptos Display" w:eastAsia="Times New Roman" w:hAnsi="Aptos Display" w:cs="Times New Roman"/>
          <w:kern w:val="0"/>
          <w:lang w:eastAsia="nb-NO"/>
          <w14:ligatures w14:val="none"/>
        </w:rPr>
      </w:pPr>
      <w:r w:rsidRPr="004E17DA">
        <w:rPr>
          <w:rFonts w:ascii="Aptos Display" w:eastAsia="Times New Roman" w:hAnsi="Aptos Display" w:cs="Times New Roman"/>
          <w:kern w:val="0"/>
          <w:lang w:eastAsia="nb-NO"/>
          <w14:ligatures w14:val="none"/>
        </w:rPr>
        <w:t>Unødvendig bruk av hansker gir også økt belastning på miljøet.</w:t>
      </w:r>
    </w:p>
    <w:sectPr w:rsidR="00682FCA" w:rsidRPr="00A51D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725D7"/>
    <w:multiLevelType w:val="hybridMultilevel"/>
    <w:tmpl w:val="A47A882C"/>
    <w:lvl w:ilvl="0" w:tplc="DF960C84">
      <w:numFmt w:val="bullet"/>
      <w:lvlText w:val="-"/>
      <w:lvlJc w:val="left"/>
      <w:pPr>
        <w:ind w:left="720" w:hanging="360"/>
      </w:pPr>
      <w:rPr>
        <w:rFonts w:ascii="Aptos" w:eastAsiaTheme="minorHAnsi" w:hAnsi="Apto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F8C4784"/>
    <w:multiLevelType w:val="multilevel"/>
    <w:tmpl w:val="917E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7839A7"/>
    <w:multiLevelType w:val="multilevel"/>
    <w:tmpl w:val="EF1C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3F6402"/>
    <w:multiLevelType w:val="hybridMultilevel"/>
    <w:tmpl w:val="D0EC63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86225021">
    <w:abstractNumId w:val="3"/>
  </w:num>
  <w:num w:numId="2" w16cid:durableId="1881866270">
    <w:abstractNumId w:val="2"/>
  </w:num>
  <w:num w:numId="3" w16cid:durableId="364059187">
    <w:abstractNumId w:val="1"/>
  </w:num>
  <w:num w:numId="4" w16cid:durableId="888683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FCA"/>
    <w:rsid w:val="0001021A"/>
    <w:rsid w:val="00024F02"/>
    <w:rsid w:val="000273E5"/>
    <w:rsid w:val="000362F8"/>
    <w:rsid w:val="0005131E"/>
    <w:rsid w:val="00051C39"/>
    <w:rsid w:val="00052330"/>
    <w:rsid w:val="00053A25"/>
    <w:rsid w:val="00077926"/>
    <w:rsid w:val="00077D3C"/>
    <w:rsid w:val="00084BA0"/>
    <w:rsid w:val="00094AC4"/>
    <w:rsid w:val="000B6DFD"/>
    <w:rsid w:val="000B7705"/>
    <w:rsid w:val="000D283F"/>
    <w:rsid w:val="000F7BAE"/>
    <w:rsid w:val="001002B9"/>
    <w:rsid w:val="001201D3"/>
    <w:rsid w:val="00137585"/>
    <w:rsid w:val="0014550C"/>
    <w:rsid w:val="001B1A78"/>
    <w:rsid w:val="001C3765"/>
    <w:rsid w:val="001F02F5"/>
    <w:rsid w:val="002039FA"/>
    <w:rsid w:val="00235133"/>
    <w:rsid w:val="00254F69"/>
    <w:rsid w:val="002636CB"/>
    <w:rsid w:val="002756E1"/>
    <w:rsid w:val="00282F01"/>
    <w:rsid w:val="00283B2A"/>
    <w:rsid w:val="00290C96"/>
    <w:rsid w:val="002A1459"/>
    <w:rsid w:val="002A1F32"/>
    <w:rsid w:val="002B44FD"/>
    <w:rsid w:val="002C5CA8"/>
    <w:rsid w:val="002D2EE2"/>
    <w:rsid w:val="002F70DC"/>
    <w:rsid w:val="003046FA"/>
    <w:rsid w:val="0030591C"/>
    <w:rsid w:val="003117BD"/>
    <w:rsid w:val="00315EF9"/>
    <w:rsid w:val="003160CE"/>
    <w:rsid w:val="00317500"/>
    <w:rsid w:val="00360EEA"/>
    <w:rsid w:val="00365E89"/>
    <w:rsid w:val="00380E34"/>
    <w:rsid w:val="003822A9"/>
    <w:rsid w:val="003912A2"/>
    <w:rsid w:val="003973DA"/>
    <w:rsid w:val="003A0AA1"/>
    <w:rsid w:val="003E0D20"/>
    <w:rsid w:val="003E3ADF"/>
    <w:rsid w:val="00415B40"/>
    <w:rsid w:val="004261FF"/>
    <w:rsid w:val="00465196"/>
    <w:rsid w:val="00475935"/>
    <w:rsid w:val="00486036"/>
    <w:rsid w:val="00492B9A"/>
    <w:rsid w:val="004C5290"/>
    <w:rsid w:val="004D29D9"/>
    <w:rsid w:val="004D78C0"/>
    <w:rsid w:val="004E17DA"/>
    <w:rsid w:val="004F0075"/>
    <w:rsid w:val="005119CA"/>
    <w:rsid w:val="00527741"/>
    <w:rsid w:val="00555807"/>
    <w:rsid w:val="00594137"/>
    <w:rsid w:val="0059690F"/>
    <w:rsid w:val="00597ABF"/>
    <w:rsid w:val="005A398B"/>
    <w:rsid w:val="005A6946"/>
    <w:rsid w:val="005B039F"/>
    <w:rsid w:val="005B4A50"/>
    <w:rsid w:val="005F6500"/>
    <w:rsid w:val="005F6A10"/>
    <w:rsid w:val="00604024"/>
    <w:rsid w:val="006132BE"/>
    <w:rsid w:val="00623DEF"/>
    <w:rsid w:val="0065314F"/>
    <w:rsid w:val="00655E37"/>
    <w:rsid w:val="006619F2"/>
    <w:rsid w:val="00680D34"/>
    <w:rsid w:val="00681EDC"/>
    <w:rsid w:val="00682FCA"/>
    <w:rsid w:val="00683BD4"/>
    <w:rsid w:val="006851DE"/>
    <w:rsid w:val="006A58B1"/>
    <w:rsid w:val="006B257F"/>
    <w:rsid w:val="006E1115"/>
    <w:rsid w:val="006F4C33"/>
    <w:rsid w:val="0070237B"/>
    <w:rsid w:val="0072509B"/>
    <w:rsid w:val="00726E3B"/>
    <w:rsid w:val="00733821"/>
    <w:rsid w:val="007357A3"/>
    <w:rsid w:val="00741B4A"/>
    <w:rsid w:val="0074305E"/>
    <w:rsid w:val="00753C10"/>
    <w:rsid w:val="0075599D"/>
    <w:rsid w:val="00760157"/>
    <w:rsid w:val="00761230"/>
    <w:rsid w:val="007B1DCD"/>
    <w:rsid w:val="007B24CF"/>
    <w:rsid w:val="007B2E8E"/>
    <w:rsid w:val="007B74CB"/>
    <w:rsid w:val="007E7334"/>
    <w:rsid w:val="007F523A"/>
    <w:rsid w:val="00833F78"/>
    <w:rsid w:val="00843162"/>
    <w:rsid w:val="00845438"/>
    <w:rsid w:val="00852EEC"/>
    <w:rsid w:val="00867D74"/>
    <w:rsid w:val="00882EC5"/>
    <w:rsid w:val="008D06AE"/>
    <w:rsid w:val="008D4B79"/>
    <w:rsid w:val="00924350"/>
    <w:rsid w:val="00932EB8"/>
    <w:rsid w:val="00945236"/>
    <w:rsid w:val="00945B48"/>
    <w:rsid w:val="00952E14"/>
    <w:rsid w:val="00967136"/>
    <w:rsid w:val="00985461"/>
    <w:rsid w:val="009924E8"/>
    <w:rsid w:val="00992CA2"/>
    <w:rsid w:val="009A5A97"/>
    <w:rsid w:val="009A694A"/>
    <w:rsid w:val="00A51DD1"/>
    <w:rsid w:val="00AA65E3"/>
    <w:rsid w:val="00AB6431"/>
    <w:rsid w:val="00AC0CE9"/>
    <w:rsid w:val="00AC255C"/>
    <w:rsid w:val="00AC76E2"/>
    <w:rsid w:val="00AD3C2B"/>
    <w:rsid w:val="00AF56CF"/>
    <w:rsid w:val="00B17747"/>
    <w:rsid w:val="00B3619A"/>
    <w:rsid w:val="00B40618"/>
    <w:rsid w:val="00B42FE4"/>
    <w:rsid w:val="00B433E0"/>
    <w:rsid w:val="00B50103"/>
    <w:rsid w:val="00B52EB4"/>
    <w:rsid w:val="00B82527"/>
    <w:rsid w:val="00B977FE"/>
    <w:rsid w:val="00BA1373"/>
    <w:rsid w:val="00BA5766"/>
    <w:rsid w:val="00BB1F10"/>
    <w:rsid w:val="00BB5D73"/>
    <w:rsid w:val="00C13231"/>
    <w:rsid w:val="00C91DD0"/>
    <w:rsid w:val="00C92447"/>
    <w:rsid w:val="00CB45BC"/>
    <w:rsid w:val="00CD3C80"/>
    <w:rsid w:val="00D0665D"/>
    <w:rsid w:val="00D140F4"/>
    <w:rsid w:val="00D27BBF"/>
    <w:rsid w:val="00D65592"/>
    <w:rsid w:val="00D73CAA"/>
    <w:rsid w:val="00D87A93"/>
    <w:rsid w:val="00D928ED"/>
    <w:rsid w:val="00D97E99"/>
    <w:rsid w:val="00DA16DD"/>
    <w:rsid w:val="00DB0A0B"/>
    <w:rsid w:val="00DB4744"/>
    <w:rsid w:val="00DE467C"/>
    <w:rsid w:val="00DF74A6"/>
    <w:rsid w:val="00E012A8"/>
    <w:rsid w:val="00E06027"/>
    <w:rsid w:val="00E74A73"/>
    <w:rsid w:val="00EA744C"/>
    <w:rsid w:val="00EC10D7"/>
    <w:rsid w:val="00EC5310"/>
    <w:rsid w:val="00ED32C9"/>
    <w:rsid w:val="00F062ED"/>
    <w:rsid w:val="00F23B8F"/>
    <w:rsid w:val="00F306BA"/>
    <w:rsid w:val="00F37237"/>
    <w:rsid w:val="00F439A5"/>
    <w:rsid w:val="00F55CA9"/>
    <w:rsid w:val="00F639EF"/>
    <w:rsid w:val="00F64D12"/>
    <w:rsid w:val="00F7029F"/>
    <w:rsid w:val="00F76471"/>
    <w:rsid w:val="00F86B8E"/>
    <w:rsid w:val="00FA099D"/>
    <w:rsid w:val="00FB1C35"/>
    <w:rsid w:val="00FC569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5DD6C"/>
  <w15:chartTrackingRefBased/>
  <w15:docId w15:val="{C008577E-985C-47E8-86EF-7D8B1FCE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67C"/>
  </w:style>
  <w:style w:type="paragraph" w:styleId="Heading1">
    <w:name w:val="heading 1"/>
    <w:basedOn w:val="Normal"/>
    <w:next w:val="Normal"/>
    <w:link w:val="Heading1Char"/>
    <w:uiPriority w:val="9"/>
    <w:qFormat/>
    <w:rsid w:val="00682F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82F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2F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2F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2F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2F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F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F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F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F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82F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2F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2F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2F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2F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F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F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FCA"/>
    <w:rPr>
      <w:rFonts w:eastAsiaTheme="majorEastAsia" w:cstheme="majorBidi"/>
      <w:color w:val="272727" w:themeColor="text1" w:themeTint="D8"/>
    </w:rPr>
  </w:style>
  <w:style w:type="paragraph" w:styleId="Title">
    <w:name w:val="Title"/>
    <w:basedOn w:val="Normal"/>
    <w:next w:val="Normal"/>
    <w:link w:val="TitleChar"/>
    <w:uiPriority w:val="10"/>
    <w:qFormat/>
    <w:rsid w:val="00682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F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F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F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FCA"/>
    <w:pPr>
      <w:spacing w:before="160"/>
      <w:jc w:val="center"/>
    </w:pPr>
    <w:rPr>
      <w:i/>
      <w:iCs/>
      <w:color w:val="404040" w:themeColor="text1" w:themeTint="BF"/>
    </w:rPr>
  </w:style>
  <w:style w:type="character" w:customStyle="1" w:styleId="QuoteChar">
    <w:name w:val="Quote Char"/>
    <w:basedOn w:val="DefaultParagraphFont"/>
    <w:link w:val="Quote"/>
    <w:uiPriority w:val="29"/>
    <w:rsid w:val="00682FCA"/>
    <w:rPr>
      <w:i/>
      <w:iCs/>
      <w:color w:val="404040" w:themeColor="text1" w:themeTint="BF"/>
    </w:rPr>
  </w:style>
  <w:style w:type="paragraph" w:styleId="ListParagraph">
    <w:name w:val="List Paragraph"/>
    <w:basedOn w:val="Normal"/>
    <w:uiPriority w:val="34"/>
    <w:qFormat/>
    <w:rsid w:val="00682FCA"/>
    <w:pPr>
      <w:ind w:left="720"/>
      <w:contextualSpacing/>
    </w:pPr>
  </w:style>
  <w:style w:type="character" w:styleId="IntenseEmphasis">
    <w:name w:val="Intense Emphasis"/>
    <w:basedOn w:val="DefaultParagraphFont"/>
    <w:uiPriority w:val="21"/>
    <w:qFormat/>
    <w:rsid w:val="00682FCA"/>
    <w:rPr>
      <w:i/>
      <w:iCs/>
      <w:color w:val="0F4761" w:themeColor="accent1" w:themeShade="BF"/>
    </w:rPr>
  </w:style>
  <w:style w:type="paragraph" w:styleId="IntenseQuote">
    <w:name w:val="Intense Quote"/>
    <w:basedOn w:val="Normal"/>
    <w:next w:val="Normal"/>
    <w:link w:val="IntenseQuoteChar"/>
    <w:uiPriority w:val="30"/>
    <w:qFormat/>
    <w:rsid w:val="00682F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FCA"/>
    <w:rPr>
      <w:i/>
      <w:iCs/>
      <w:color w:val="0F4761" w:themeColor="accent1" w:themeShade="BF"/>
    </w:rPr>
  </w:style>
  <w:style w:type="character" w:styleId="IntenseReference">
    <w:name w:val="Intense Reference"/>
    <w:basedOn w:val="DefaultParagraphFont"/>
    <w:uiPriority w:val="32"/>
    <w:qFormat/>
    <w:rsid w:val="00682FCA"/>
    <w:rPr>
      <w:b/>
      <w:bCs/>
      <w:smallCaps/>
      <w:color w:val="0F4761" w:themeColor="accent1" w:themeShade="BF"/>
      <w:spacing w:val="5"/>
    </w:rPr>
  </w:style>
  <w:style w:type="character" w:styleId="Strong">
    <w:name w:val="Strong"/>
    <w:basedOn w:val="DefaultParagraphFont"/>
    <w:uiPriority w:val="22"/>
    <w:qFormat/>
    <w:rsid w:val="00682FCA"/>
    <w:rPr>
      <w:b/>
      <w:bCs/>
    </w:rPr>
  </w:style>
  <w:style w:type="paragraph" w:styleId="NormalWeb">
    <w:name w:val="Normal (Web)"/>
    <w:basedOn w:val="Normal"/>
    <w:uiPriority w:val="99"/>
    <w:semiHidden/>
    <w:unhideWhenUsed/>
    <w:rsid w:val="00682FCA"/>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character" w:styleId="Hyperlink">
    <w:name w:val="Hyperlink"/>
    <w:basedOn w:val="DefaultParagraphFont"/>
    <w:uiPriority w:val="99"/>
    <w:unhideWhenUsed/>
    <w:rsid w:val="00682FCA"/>
    <w:rPr>
      <w:color w:val="467886" w:themeColor="hyperlink"/>
      <w:u w:val="single"/>
    </w:rPr>
  </w:style>
  <w:style w:type="character" w:styleId="UnresolvedMention">
    <w:name w:val="Unresolved Mention"/>
    <w:basedOn w:val="DefaultParagraphFont"/>
    <w:uiPriority w:val="99"/>
    <w:semiHidden/>
    <w:unhideWhenUsed/>
    <w:rsid w:val="00682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meo.com/205862286?fl=pl&amp;fe=c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CBE907813C484DA8C34296B3BBB074" ma:contentTypeVersion="17" ma:contentTypeDescription="Create a new document." ma:contentTypeScope="" ma:versionID="f4cb6d9034f993959f2b2f79a5e0701a">
  <xsd:schema xmlns:xsd="http://www.w3.org/2001/XMLSchema" xmlns:xs="http://www.w3.org/2001/XMLSchema" xmlns:p="http://schemas.microsoft.com/office/2006/metadata/properties" xmlns:ns3="95db212c-7159-469e-9a84-cfa45bbf87a6" xmlns:ns4="4339ffa5-64f1-474b-8089-0459ca48dfc0" targetNamespace="http://schemas.microsoft.com/office/2006/metadata/properties" ma:root="true" ma:fieldsID="73b063c1a8cc960b1435247790fc0056" ns3:_="" ns4:_="">
    <xsd:import namespace="95db212c-7159-469e-9a84-cfa45bbf87a6"/>
    <xsd:import namespace="4339ffa5-64f1-474b-8089-0459ca48df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MediaServiceOCR" minOccurs="0"/>
                <xsd:element ref="ns4:MediaServiceObjectDetectorVersions" minOccurs="0"/>
                <xsd:element ref="ns4:MediaServiceSystemTags" minOccurs="0"/>
                <xsd:element ref="ns4:_activity" minOccurs="0"/>
                <xsd:element ref="ns4:MediaServiceSearchPropertie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b212c-7159-469e-9a84-cfa45bbf87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39ffa5-64f1-474b-8089-0459ca48df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339ffa5-64f1-474b-8089-0459ca48df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0CA7B-D130-4260-BB3C-6866F2B4A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b212c-7159-469e-9a84-cfa45bbf87a6"/>
    <ds:schemaRef ds:uri="4339ffa5-64f1-474b-8089-0459ca48d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4EBA59-A9A2-4540-BC92-739E5407FA6E}">
  <ds:schemaRefs>
    <ds:schemaRef ds:uri="http://schemas.microsoft.com/office/2006/metadata/properties"/>
    <ds:schemaRef ds:uri="http://schemas.microsoft.com/office/infopath/2007/PartnerControls"/>
    <ds:schemaRef ds:uri="4339ffa5-64f1-474b-8089-0459ca48dfc0"/>
  </ds:schemaRefs>
</ds:datastoreItem>
</file>

<file path=customXml/itemProps3.xml><?xml version="1.0" encoding="utf-8"?>
<ds:datastoreItem xmlns:ds="http://schemas.openxmlformats.org/officeDocument/2006/customXml" ds:itemID="{D133BF3C-C807-4FD2-81F5-D39992C7FC34}">
  <ds:schemaRefs>
    <ds:schemaRef ds:uri="http://schemas.microsoft.com/sharepoint/v3/contenttype/forms"/>
  </ds:schemaRefs>
</ds:datastoreItem>
</file>

<file path=docMetadata/LabelInfo.xml><?xml version="1.0" encoding="utf-8"?>
<clbl:labelList xmlns:clbl="http://schemas.microsoft.com/office/2020/mipLabelMetadata">
  <clbl:label id="{648a24bc-a98d-4025-9c60-48c19a142069}" enabled="0" method="" siteId="{648a24bc-a98d-4025-9c60-48c19a142069}" removed="1"/>
</clbl:labelList>
</file>

<file path=docProps/app.xml><?xml version="1.0" encoding="utf-8"?>
<Properties xmlns="http://schemas.openxmlformats.org/officeDocument/2006/extended-properties" xmlns:vt="http://schemas.openxmlformats.org/officeDocument/2006/docPropsVTypes">
  <Template>Normal.dotm</Template>
  <TotalTime>4024</TotalTime>
  <Pages>4</Pages>
  <Words>966</Words>
  <Characters>5122</Characters>
  <Application>Microsoft Office Word</Application>
  <DocSecurity>0</DocSecurity>
  <Lines>42</Lines>
  <Paragraphs>12</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Marie Hagen</dc:creator>
  <cp:keywords/>
  <dc:description/>
  <cp:lastModifiedBy>Siv Lise Bedringaas</cp:lastModifiedBy>
  <cp:revision>7930</cp:revision>
  <dcterms:created xsi:type="dcterms:W3CDTF">2026-04-27T07:57:00Z</dcterms:created>
  <dcterms:modified xsi:type="dcterms:W3CDTF">2026-04-30T03:48:00Z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0x010100E3CBE907813C484DA8C34296B3BBB074</vt:lpwstr>
  </property>
</Properties>
</file>