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E4CE" w14:textId="77777777" w:rsidR="00545EC7" w:rsidRDefault="00545EC7" w:rsidP="00545EC7">
      <w:pPr>
        <w:rPr>
          <w:rFonts w:ascii="Aptos" w:hAnsi="Aptos"/>
          <w:color w:val="212121"/>
        </w:rPr>
      </w:pPr>
    </w:p>
    <w:p w14:paraId="06BE228F" w14:textId="394B5245" w:rsidR="009D6439" w:rsidRPr="00D43DD5" w:rsidRDefault="009D6439" w:rsidP="00D43DD5">
      <w:r w:rsidRPr="009F2B75">
        <w:rPr>
          <w:rFonts w:ascii="Roboto" w:hAnsi="Roboto"/>
          <w:b/>
          <w:bCs/>
          <w:noProof/>
          <w:color w:val="0070C0"/>
          <w:sz w:val="32"/>
          <w:szCs w:val="32"/>
        </w:rPr>
        <w:drawing>
          <wp:anchor distT="0" distB="0" distL="114300" distR="114300" simplePos="0" relativeHeight="251661312" behindDoc="1" locked="0" layoutInCell="1" allowOverlap="1" wp14:anchorId="16148870" wp14:editId="2CC2E105">
            <wp:simplePos x="0" y="0"/>
            <wp:positionH relativeFrom="column">
              <wp:posOffset>5274276</wp:posOffset>
            </wp:positionH>
            <wp:positionV relativeFrom="paragraph">
              <wp:posOffset>-369002</wp:posOffset>
            </wp:positionV>
            <wp:extent cx="822794" cy="779489"/>
            <wp:effectExtent l="0" t="0" r="3175" b="0"/>
            <wp:wrapTight wrapText="bothSides">
              <wp:wrapPolygon edited="0">
                <wp:start x="0" y="0"/>
                <wp:lineTo x="0" y="21125"/>
                <wp:lineTo x="21350" y="21125"/>
                <wp:lineTo x="21350" y="0"/>
                <wp:lineTo x="0" y="0"/>
              </wp:wrapPolygon>
            </wp:wrapTight>
            <wp:docPr id="485978901" name="Picture 1" descr="A circular design with colored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063" name="Picture 1" descr="A circular design with colored rectangl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2794" cy="779489"/>
                    </a:xfrm>
                    <a:prstGeom prst="rect">
                      <a:avLst/>
                    </a:prstGeom>
                  </pic:spPr>
                </pic:pic>
              </a:graphicData>
            </a:graphic>
            <wp14:sizeRelH relativeFrom="page">
              <wp14:pctWidth>0</wp14:pctWidth>
            </wp14:sizeRelH>
            <wp14:sizeRelV relativeFrom="page">
              <wp14:pctHeight>0</wp14:pctHeight>
            </wp14:sizeRelV>
          </wp:anchor>
        </w:drawing>
      </w:r>
      <w:r w:rsidRPr="009F2B75">
        <w:rPr>
          <w:rFonts w:ascii="Roboto" w:hAnsi="Roboto"/>
          <w:b/>
          <w:bCs/>
          <w:color w:val="0070C0"/>
          <w:sz w:val="32"/>
          <w:szCs w:val="32"/>
          <w:lang w:val="en-GB"/>
        </w:rPr>
        <w:t xml:space="preserve">Mohn Research </w:t>
      </w:r>
      <w:proofErr w:type="spellStart"/>
      <w:r w:rsidRPr="009F2B75">
        <w:rPr>
          <w:rFonts w:ascii="Roboto" w:hAnsi="Roboto"/>
          <w:b/>
          <w:bCs/>
          <w:color w:val="0070C0"/>
          <w:sz w:val="32"/>
          <w:szCs w:val="32"/>
          <w:lang w:val="en-GB"/>
        </w:rPr>
        <w:t>Center</w:t>
      </w:r>
      <w:proofErr w:type="spellEnd"/>
      <w:r w:rsidRPr="009F2B75">
        <w:rPr>
          <w:rFonts w:ascii="Roboto" w:hAnsi="Roboto"/>
          <w:b/>
          <w:bCs/>
          <w:color w:val="0070C0"/>
          <w:sz w:val="32"/>
          <w:szCs w:val="32"/>
          <w:lang w:val="en-GB"/>
        </w:rPr>
        <w:t xml:space="preserve"> for Diabetes P</w:t>
      </w:r>
      <w:r>
        <w:rPr>
          <w:rFonts w:ascii="Roboto" w:hAnsi="Roboto"/>
          <w:b/>
          <w:bCs/>
          <w:color w:val="0070C0"/>
          <w:sz w:val="32"/>
          <w:szCs w:val="32"/>
          <w:lang w:val="en-GB"/>
        </w:rPr>
        <w:t>r</w:t>
      </w:r>
      <w:r w:rsidRPr="009F2B75">
        <w:rPr>
          <w:rFonts w:ascii="Roboto" w:hAnsi="Roboto"/>
          <w:b/>
          <w:bCs/>
          <w:color w:val="0070C0"/>
          <w:sz w:val="32"/>
          <w:szCs w:val="32"/>
          <w:lang w:val="en-GB"/>
        </w:rPr>
        <w:t>ecision Medicine</w:t>
      </w:r>
    </w:p>
    <w:p w14:paraId="47408205" w14:textId="77777777" w:rsidR="009D6439" w:rsidRDefault="009D6439" w:rsidP="009D6439">
      <w:pPr>
        <w:pStyle w:val="Header"/>
        <w:rPr>
          <w:rFonts w:ascii="Roboto" w:hAnsi="Roboto"/>
          <w:sz w:val="32"/>
          <w:szCs w:val="32"/>
          <w:lang w:val="en-GB"/>
        </w:rPr>
      </w:pPr>
    </w:p>
    <w:p w14:paraId="10C8CAE4" w14:textId="1BF4B1CA" w:rsidR="009D6439" w:rsidRPr="009D6439" w:rsidRDefault="009D6439" w:rsidP="009D6439">
      <w:pPr>
        <w:rPr>
          <w:b/>
          <w:bCs/>
          <w:color w:val="212121"/>
          <w:sz w:val="32"/>
          <w:szCs w:val="32"/>
        </w:rPr>
      </w:pPr>
      <w:r w:rsidRPr="009D6439">
        <w:rPr>
          <w:b/>
          <w:bCs/>
          <w:color w:val="212121"/>
          <w:sz w:val="32"/>
          <w:szCs w:val="32"/>
        </w:rPr>
        <w:t xml:space="preserve">Invited seminar - </w:t>
      </w:r>
      <w:r w:rsidRPr="009D6439">
        <w:rPr>
          <w:b/>
          <w:bCs/>
          <w:color w:val="212121"/>
          <w:sz w:val="32"/>
          <w:szCs w:val="32"/>
        </w:rPr>
        <w:t>Tuesday</w:t>
      </w:r>
      <w:r w:rsidRPr="009D6439">
        <w:rPr>
          <w:b/>
          <w:bCs/>
          <w:color w:val="212121"/>
          <w:sz w:val="32"/>
          <w:szCs w:val="32"/>
        </w:rPr>
        <w:t xml:space="preserve"> March 1</w:t>
      </w:r>
      <w:r w:rsidRPr="009D6439">
        <w:rPr>
          <w:b/>
          <w:bCs/>
          <w:color w:val="212121"/>
          <w:sz w:val="32"/>
          <w:szCs w:val="32"/>
        </w:rPr>
        <w:t>7</w:t>
      </w:r>
      <w:r w:rsidRPr="009D6439">
        <w:rPr>
          <w:b/>
          <w:bCs/>
          <w:color w:val="212121"/>
          <w:sz w:val="32"/>
          <w:szCs w:val="32"/>
        </w:rPr>
        <w:t xml:space="preserve">th </w:t>
      </w:r>
    </w:p>
    <w:p w14:paraId="021C54D7" w14:textId="4D7930D7" w:rsidR="009D6439" w:rsidRPr="009D6439" w:rsidRDefault="009D6439" w:rsidP="009D6439">
      <w:pPr>
        <w:rPr>
          <w:b/>
          <w:bCs/>
          <w:color w:val="212121"/>
        </w:rPr>
      </w:pPr>
      <w:r w:rsidRPr="009D6439">
        <w:rPr>
          <w:b/>
          <w:bCs/>
          <w:color w:val="212121"/>
        </w:rPr>
        <w:t>1</w:t>
      </w:r>
      <w:r w:rsidRPr="009D6439">
        <w:rPr>
          <w:b/>
          <w:bCs/>
          <w:color w:val="212121"/>
        </w:rPr>
        <w:t>0</w:t>
      </w:r>
      <w:r w:rsidRPr="009D6439">
        <w:rPr>
          <w:b/>
          <w:bCs/>
          <w:color w:val="212121"/>
        </w:rPr>
        <w:t>.15-1</w:t>
      </w:r>
      <w:r w:rsidRPr="009D6439">
        <w:rPr>
          <w:b/>
          <w:bCs/>
          <w:color w:val="212121"/>
        </w:rPr>
        <w:t>1</w:t>
      </w:r>
      <w:r w:rsidRPr="009D6439">
        <w:rPr>
          <w:b/>
          <w:bCs/>
          <w:color w:val="212121"/>
        </w:rPr>
        <w:t>.00 At the BB-auditorium 4</w:t>
      </w:r>
    </w:p>
    <w:p w14:paraId="13EF5E93" w14:textId="6504F26B" w:rsidR="009D6439" w:rsidRPr="009D6439" w:rsidRDefault="009D6439" w:rsidP="009D6439">
      <w:pPr>
        <w:rPr>
          <w:b/>
          <w:bCs/>
          <w:color w:val="212121"/>
        </w:rPr>
      </w:pPr>
      <w:r w:rsidRPr="009D6439">
        <w:rPr>
          <w:b/>
          <w:bCs/>
          <w:color w:val="212121"/>
        </w:rPr>
        <w:t>Coffee/Tea and biscuites are served after the seminar.</w:t>
      </w:r>
    </w:p>
    <w:p w14:paraId="610BF629" w14:textId="77777777" w:rsidR="009D6439" w:rsidRPr="009D6439" w:rsidRDefault="009D6439" w:rsidP="009D6439">
      <w:pPr>
        <w:rPr>
          <w:b/>
          <w:bCs/>
          <w:color w:val="212121"/>
        </w:rPr>
      </w:pPr>
    </w:p>
    <w:p w14:paraId="22EF5BB0" w14:textId="50F24C94" w:rsidR="009D6439" w:rsidRPr="009D6439" w:rsidRDefault="009D6439" w:rsidP="009D6439">
      <w:pPr>
        <w:rPr>
          <w:color w:val="212121"/>
        </w:rPr>
      </w:pPr>
      <w:r w:rsidRPr="009D6439">
        <w:rPr>
          <w:b/>
          <w:bCs/>
          <w:color w:val="212121"/>
        </w:rPr>
        <w:t>Robin Hofmeister</w:t>
      </w:r>
      <w:r w:rsidRPr="009D6439">
        <w:rPr>
          <w:color w:val="212121"/>
        </w:rPr>
        <w:t>.</w:t>
      </w:r>
      <w:r w:rsidRPr="009D6439">
        <w:t xml:space="preserve"> </w:t>
      </w:r>
      <w:r w:rsidRPr="009D6439">
        <w:t xml:space="preserve">PhD, post doc at the </w:t>
      </w:r>
      <w:r w:rsidRPr="009D6439">
        <w:rPr>
          <w:color w:val="000000"/>
        </w:rPr>
        <w:t>Department of Computational Biology, University of Lausanne, Switzerland</w:t>
      </w:r>
      <w:r w:rsidRPr="009D6439">
        <w:rPr>
          <w:color w:val="000000"/>
        </w:rPr>
        <w:t xml:space="preserve"> and the </w:t>
      </w:r>
      <w:r w:rsidRPr="009D6439">
        <w:rPr>
          <w:color w:val="000000"/>
        </w:rPr>
        <w:t>Institute of Genomics, University of Tartu, Estonia</w:t>
      </w:r>
    </w:p>
    <w:p w14:paraId="539D2BC7" w14:textId="77777777" w:rsidR="009D6439" w:rsidRPr="009D6439" w:rsidRDefault="009D6439" w:rsidP="009D6439">
      <w:pPr>
        <w:rPr>
          <w:color w:val="212121"/>
        </w:rPr>
      </w:pPr>
    </w:p>
    <w:p w14:paraId="5ED77302" w14:textId="77777777" w:rsidR="00670EA0" w:rsidRPr="00670EA0" w:rsidRDefault="00670EA0" w:rsidP="00670EA0">
      <w:pPr>
        <w:rPr>
          <w:b/>
          <w:bCs/>
          <w:i/>
          <w:iCs/>
          <w:color w:val="212121"/>
          <w:sz w:val="28"/>
          <w:szCs w:val="28"/>
        </w:rPr>
      </w:pPr>
      <w:r w:rsidRPr="00670EA0">
        <w:rPr>
          <w:b/>
          <w:bCs/>
          <w:i/>
          <w:iCs/>
          <w:color w:val="212121"/>
          <w:sz w:val="28"/>
          <w:szCs w:val="28"/>
        </w:rPr>
        <w:t>Detecting parent-of-origin genetic effects without parental genomes</w:t>
      </w:r>
    </w:p>
    <w:p w14:paraId="6A7CF476" w14:textId="77777777" w:rsidR="00D50D8B" w:rsidRPr="00192BAB" w:rsidRDefault="00D50D8B" w:rsidP="00FB4D23">
      <w:pPr>
        <w:pStyle w:val="NormalWeb"/>
        <w:spacing w:before="0" w:beforeAutospacing="0" w:after="0" w:afterAutospacing="0"/>
        <w:rPr>
          <w:color w:val="000000"/>
          <w:sz w:val="20"/>
          <w:szCs w:val="20"/>
        </w:rPr>
      </w:pPr>
    </w:p>
    <w:p w14:paraId="0B01D713" w14:textId="1C4DA9EF" w:rsidR="00FB4D23" w:rsidRPr="00D43DD5" w:rsidRDefault="00FB4D23" w:rsidP="00FB4D23">
      <w:pPr>
        <w:pStyle w:val="NormalWeb"/>
        <w:spacing w:before="0" w:beforeAutospacing="0" w:after="0" w:afterAutospacing="0"/>
        <w:rPr>
          <w:color w:val="212121"/>
        </w:rPr>
      </w:pPr>
      <w:r w:rsidRPr="00D43DD5">
        <w:rPr>
          <w:color w:val="000000"/>
        </w:rPr>
        <w:t>Standard genome-wide association studies (GWAS) treat maternally and paternally inherited alleles as equivalent — but for many genomic loci, they are not. Depending on which parent transmits a variant, its effect on a trait can differ dramatically, or even flip sign entirely. These parent-of-origin effects (POEs) have remained largely invisible to conventional genetic analyses because detecting them has traditionally required rare parent-offspring trio data, unavailable at biobank scale.</w:t>
      </w:r>
    </w:p>
    <w:p w14:paraId="60A4B4F0" w14:textId="77777777" w:rsidR="00FB4D23" w:rsidRPr="00D43DD5" w:rsidRDefault="00FB4D23" w:rsidP="00FB4D23">
      <w:pPr>
        <w:pStyle w:val="NormalWeb"/>
        <w:spacing w:before="0" w:beforeAutospacing="0" w:after="0" w:afterAutospacing="0"/>
        <w:rPr>
          <w:color w:val="212121"/>
        </w:rPr>
      </w:pPr>
      <w:r w:rsidRPr="00D43DD5">
        <w:rPr>
          <w:rStyle w:val="outlook-search-highlight"/>
          <w:rFonts w:eastAsiaTheme="majorEastAsia"/>
          <w:color w:val="000000"/>
        </w:rPr>
        <w:t>Robin</w:t>
      </w:r>
      <w:r w:rsidRPr="00D43DD5">
        <w:rPr>
          <w:rStyle w:val="apple-converted-space"/>
          <w:rFonts w:eastAsiaTheme="majorEastAsia"/>
          <w:color w:val="000000"/>
        </w:rPr>
        <w:t> </w:t>
      </w:r>
      <w:r w:rsidRPr="00D43DD5">
        <w:rPr>
          <w:color w:val="000000"/>
        </w:rPr>
        <w:t>will discuss their recent publication in Nature [1] where they describe a novel method for inferring the parental origin of alleles in biobank-scale data — without any parental genomes — and its application to identify POEs on various traits, using more than 250,000 individuals . The study revealed over 30  POEs, many of them bipolar: the very same allele increases a trait when paternally inherited and decreases it when maternally inherited (or vice versa). This pattern is strikingly consistent with the evolutionary parental conflict hypothesis, under which paternally expressed genes promote offspring growth while maternally expressed genes conserve maternal resources.</w:t>
      </w:r>
    </w:p>
    <w:p w14:paraId="021BF138" w14:textId="77777777" w:rsidR="009E37C7" w:rsidRPr="00D43DD5" w:rsidRDefault="009E37C7"/>
    <w:p w14:paraId="02A39872" w14:textId="77777777" w:rsidR="00670EA0" w:rsidRPr="00D43DD5" w:rsidRDefault="00670EA0">
      <w:pPr>
        <w:rPr>
          <w:color w:val="000000"/>
        </w:rPr>
      </w:pPr>
    </w:p>
    <w:p w14:paraId="2BA9B7A1" w14:textId="34BAF05B" w:rsidR="009E37C7" w:rsidRDefault="009E37C7">
      <w:pPr>
        <w:rPr>
          <w:color w:val="000000"/>
        </w:rPr>
      </w:pPr>
      <w:r w:rsidRPr="009E37C7">
        <w:rPr>
          <w:color w:val="000000"/>
        </w:rPr>
        <w:t>Robin Hofmeister completed his PhD in human genetics at the University of Lausanne and has been a postdoctoral researcher there since 2023 under the supervision of Zoltan Kutalik. He is also affiliated with the Institute of Genomics at the University of Tartu, Estonia, where he collaborates with Lili Milani. His research focuses on developing statistical and computational methods to estimate haplotypes and infer their parental origin by leveraging genetic relatedness in biobank-scale datasets. He primarily applies these approaches to investigate parent-of-origin effects, and more recently to study assortative mating and genetic nurture. His work aims to improve our understanding of intergenerational genetic mechanisms and the genetic architecture of complex traits.</w:t>
      </w:r>
    </w:p>
    <w:p w14:paraId="45BF8934" w14:textId="77777777" w:rsidR="009E37C7" w:rsidRDefault="009E37C7">
      <w:pPr>
        <w:rPr>
          <w:color w:val="000000"/>
        </w:rPr>
      </w:pPr>
    </w:p>
    <w:p w14:paraId="0F1E1A00" w14:textId="77777777" w:rsidR="009E37C7" w:rsidRDefault="009E37C7">
      <w:pPr>
        <w:rPr>
          <w:color w:val="000000"/>
        </w:rPr>
      </w:pPr>
    </w:p>
    <w:p w14:paraId="74AAF4C2" w14:textId="77777777" w:rsidR="009E37C7" w:rsidRPr="009E37C7" w:rsidRDefault="009E37C7" w:rsidP="009E37C7">
      <w:pPr>
        <w:pStyle w:val="Bibliography"/>
        <w:rPr>
          <w:rFonts w:eastAsiaTheme="minorHAnsi"/>
          <w:lang w:val="en-GB" w:eastAsia="en-US"/>
        </w:rPr>
      </w:pPr>
      <w:r>
        <w:fldChar w:fldCharType="begin"/>
      </w:r>
      <w:r>
        <w:instrText xml:space="preserve"> ADDIN ZOTERO_BIBL {"uncited":[],"omitted":[],"custom":[]} CSL_BIBLIOGRAPHY </w:instrText>
      </w:r>
      <w:r>
        <w:fldChar w:fldCharType="separate"/>
      </w:r>
      <w:r w:rsidRPr="009E37C7">
        <w:rPr>
          <w:rFonts w:eastAsiaTheme="minorHAnsi"/>
          <w:lang w:val="en-GB" w:eastAsia="en-US"/>
        </w:rPr>
        <w:t>(1)</w:t>
      </w:r>
      <w:r w:rsidRPr="009E37C7">
        <w:rPr>
          <w:rFonts w:eastAsiaTheme="minorHAnsi"/>
          <w:lang w:val="en-GB" w:eastAsia="en-US"/>
        </w:rPr>
        <w:tab/>
        <w:t xml:space="preserve">Hofmeister, R. J.; Cavinato, T.; Karimi, R.; van der Graaf, A.; Pajuste, F.-D.; Kronberg, J.; Taba, N.; Mägi, R.; </w:t>
      </w:r>
      <w:proofErr w:type="spellStart"/>
      <w:r w:rsidRPr="009E37C7">
        <w:rPr>
          <w:rFonts w:eastAsiaTheme="minorHAnsi"/>
          <w:lang w:val="en-GB" w:eastAsia="en-US"/>
        </w:rPr>
        <w:t>Vaudel</w:t>
      </w:r>
      <w:proofErr w:type="spellEnd"/>
      <w:r w:rsidRPr="009E37C7">
        <w:rPr>
          <w:rFonts w:eastAsiaTheme="minorHAnsi"/>
          <w:lang w:val="en-GB" w:eastAsia="en-US"/>
        </w:rPr>
        <w:t xml:space="preserve">, M.; </w:t>
      </w:r>
      <w:proofErr w:type="spellStart"/>
      <w:r w:rsidRPr="009E37C7">
        <w:rPr>
          <w:rFonts w:eastAsiaTheme="minorHAnsi"/>
          <w:lang w:val="en-GB" w:eastAsia="en-US"/>
        </w:rPr>
        <w:t>Rubinacci</w:t>
      </w:r>
      <w:proofErr w:type="spellEnd"/>
      <w:r w:rsidRPr="009E37C7">
        <w:rPr>
          <w:rFonts w:eastAsiaTheme="minorHAnsi"/>
          <w:lang w:val="en-GB" w:eastAsia="en-US"/>
        </w:rPr>
        <w:t xml:space="preserve">, S.; Johansson, S.; Milani, L.; </w:t>
      </w:r>
      <w:proofErr w:type="spellStart"/>
      <w:r w:rsidRPr="009E37C7">
        <w:rPr>
          <w:rFonts w:eastAsiaTheme="minorHAnsi"/>
          <w:lang w:val="en-GB" w:eastAsia="en-US"/>
        </w:rPr>
        <w:t>Delaneau</w:t>
      </w:r>
      <w:proofErr w:type="spellEnd"/>
      <w:r w:rsidRPr="009E37C7">
        <w:rPr>
          <w:rFonts w:eastAsiaTheme="minorHAnsi"/>
          <w:lang w:val="en-GB" w:eastAsia="en-US"/>
        </w:rPr>
        <w:t xml:space="preserve">, O.; Kutalik, Z. Parent-of-Origin Effects on Complex Traits in up to 236,781 Individuals. </w:t>
      </w:r>
      <w:r w:rsidRPr="009E37C7">
        <w:rPr>
          <w:rFonts w:eastAsiaTheme="minorHAnsi"/>
          <w:i/>
          <w:iCs/>
          <w:lang w:val="en-GB" w:eastAsia="en-US"/>
        </w:rPr>
        <w:t>Nature</w:t>
      </w:r>
      <w:r w:rsidRPr="009E37C7">
        <w:rPr>
          <w:rFonts w:eastAsiaTheme="minorHAnsi"/>
          <w:lang w:val="en-GB" w:eastAsia="en-US"/>
        </w:rPr>
        <w:t xml:space="preserve"> </w:t>
      </w:r>
      <w:r w:rsidRPr="009E37C7">
        <w:rPr>
          <w:rFonts w:eastAsiaTheme="minorHAnsi"/>
          <w:b/>
          <w:bCs/>
          <w:lang w:val="en-GB" w:eastAsia="en-US"/>
        </w:rPr>
        <w:t>2025</w:t>
      </w:r>
      <w:r w:rsidRPr="009E37C7">
        <w:rPr>
          <w:rFonts w:eastAsiaTheme="minorHAnsi"/>
          <w:lang w:val="en-GB" w:eastAsia="en-US"/>
        </w:rPr>
        <w:t xml:space="preserve">, </w:t>
      </w:r>
      <w:r w:rsidRPr="009E37C7">
        <w:rPr>
          <w:rFonts w:eastAsiaTheme="minorHAnsi"/>
          <w:i/>
          <w:iCs/>
          <w:lang w:val="en-GB" w:eastAsia="en-US"/>
        </w:rPr>
        <w:t>646</w:t>
      </w:r>
      <w:r w:rsidRPr="009E37C7">
        <w:rPr>
          <w:rFonts w:eastAsiaTheme="minorHAnsi"/>
          <w:lang w:val="en-GB" w:eastAsia="en-US"/>
        </w:rPr>
        <w:t xml:space="preserve"> (8085), 647–656. https://doi.org/10.1038/s41586-025-09357-5.</w:t>
      </w:r>
    </w:p>
    <w:p w14:paraId="4D901D19" w14:textId="5D7CAAC4" w:rsidR="009E37C7" w:rsidRPr="009E37C7" w:rsidRDefault="009E37C7" w:rsidP="009E37C7">
      <w:pPr>
        <w:pStyle w:val="Bibliography"/>
      </w:pPr>
      <w:r>
        <w:fldChar w:fldCharType="end"/>
      </w:r>
    </w:p>
    <w:sectPr w:rsidR="009E37C7" w:rsidRPr="009E3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9D"/>
    <w:rsid w:val="00083195"/>
    <w:rsid w:val="0014239D"/>
    <w:rsid w:val="00192BAB"/>
    <w:rsid w:val="00545EC7"/>
    <w:rsid w:val="00670EA0"/>
    <w:rsid w:val="006A71BF"/>
    <w:rsid w:val="007C59C9"/>
    <w:rsid w:val="008D243E"/>
    <w:rsid w:val="008F79B5"/>
    <w:rsid w:val="009D6439"/>
    <w:rsid w:val="009E37C7"/>
    <w:rsid w:val="00A04F5D"/>
    <w:rsid w:val="00C152AE"/>
    <w:rsid w:val="00C31743"/>
    <w:rsid w:val="00C468D4"/>
    <w:rsid w:val="00D43DD5"/>
    <w:rsid w:val="00D50D8B"/>
    <w:rsid w:val="00FB4D23"/>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308F5CFF"/>
  <w15:chartTrackingRefBased/>
  <w15:docId w15:val="{A5706954-E735-3549-BC6D-94A79C16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C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4239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4239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4239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4239D"/>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4239D"/>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4239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4239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4239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4239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39D"/>
    <w:rPr>
      <w:rFonts w:eastAsiaTheme="majorEastAsia" w:cstheme="majorBidi"/>
      <w:color w:val="272727" w:themeColor="text1" w:themeTint="D8"/>
    </w:rPr>
  </w:style>
  <w:style w:type="paragraph" w:styleId="Title">
    <w:name w:val="Title"/>
    <w:basedOn w:val="Normal"/>
    <w:next w:val="Normal"/>
    <w:link w:val="TitleChar"/>
    <w:uiPriority w:val="10"/>
    <w:qFormat/>
    <w:rsid w:val="001423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42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39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42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39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4239D"/>
    <w:rPr>
      <w:i/>
      <w:iCs/>
      <w:color w:val="404040" w:themeColor="text1" w:themeTint="BF"/>
    </w:rPr>
  </w:style>
  <w:style w:type="paragraph" w:styleId="ListParagraph">
    <w:name w:val="List Paragraph"/>
    <w:basedOn w:val="Normal"/>
    <w:uiPriority w:val="34"/>
    <w:qFormat/>
    <w:rsid w:val="0014239D"/>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4239D"/>
    <w:rPr>
      <w:i/>
      <w:iCs/>
      <w:color w:val="0F4761" w:themeColor="accent1" w:themeShade="BF"/>
    </w:rPr>
  </w:style>
  <w:style w:type="paragraph" w:styleId="IntenseQuote">
    <w:name w:val="Intense Quote"/>
    <w:basedOn w:val="Normal"/>
    <w:next w:val="Normal"/>
    <w:link w:val="IntenseQuoteChar"/>
    <w:uiPriority w:val="30"/>
    <w:qFormat/>
    <w:rsid w:val="0014239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4239D"/>
    <w:rPr>
      <w:i/>
      <w:iCs/>
      <w:color w:val="0F4761" w:themeColor="accent1" w:themeShade="BF"/>
    </w:rPr>
  </w:style>
  <w:style w:type="character" w:styleId="IntenseReference">
    <w:name w:val="Intense Reference"/>
    <w:basedOn w:val="DefaultParagraphFont"/>
    <w:uiPriority w:val="32"/>
    <w:qFormat/>
    <w:rsid w:val="0014239D"/>
    <w:rPr>
      <w:b/>
      <w:bCs/>
      <w:smallCaps/>
      <w:color w:val="0F4761" w:themeColor="accent1" w:themeShade="BF"/>
      <w:spacing w:val="5"/>
    </w:rPr>
  </w:style>
  <w:style w:type="character" w:customStyle="1" w:styleId="outlook-search-highlight">
    <w:name w:val="outlook-search-highlight"/>
    <w:basedOn w:val="DefaultParagraphFont"/>
    <w:rsid w:val="0014239D"/>
  </w:style>
  <w:style w:type="character" w:customStyle="1" w:styleId="apple-converted-space">
    <w:name w:val="apple-converted-space"/>
    <w:basedOn w:val="DefaultParagraphFont"/>
    <w:rsid w:val="00545EC7"/>
  </w:style>
  <w:style w:type="paragraph" w:styleId="Header">
    <w:name w:val="header"/>
    <w:basedOn w:val="Normal"/>
    <w:link w:val="HeaderChar"/>
    <w:rsid w:val="007C59C9"/>
    <w:pPr>
      <w:tabs>
        <w:tab w:val="center" w:pos="4536"/>
        <w:tab w:val="right" w:pos="9072"/>
      </w:tabs>
    </w:pPr>
    <w:rPr>
      <w:lang w:val="nb-NO" w:eastAsia="nb-NO"/>
    </w:rPr>
  </w:style>
  <w:style w:type="character" w:customStyle="1" w:styleId="HeaderChar">
    <w:name w:val="Header Char"/>
    <w:basedOn w:val="DefaultParagraphFont"/>
    <w:link w:val="Header"/>
    <w:rsid w:val="007C59C9"/>
    <w:rPr>
      <w:rFonts w:ascii="Times New Roman" w:eastAsia="Times New Roman" w:hAnsi="Times New Roman" w:cs="Times New Roman"/>
      <w:kern w:val="0"/>
      <w:lang w:val="nb-NO" w:eastAsia="nb-NO"/>
      <w14:ligatures w14:val="none"/>
    </w:rPr>
  </w:style>
  <w:style w:type="paragraph" w:styleId="Bibliography">
    <w:name w:val="Bibliography"/>
    <w:basedOn w:val="Normal"/>
    <w:next w:val="Normal"/>
    <w:uiPriority w:val="37"/>
    <w:unhideWhenUsed/>
    <w:rsid w:val="009E37C7"/>
    <w:pPr>
      <w:tabs>
        <w:tab w:val="left" w:pos="260"/>
        <w:tab w:val="left" w:pos="380"/>
      </w:tabs>
      <w:ind w:left="384" w:hanging="384"/>
    </w:pPr>
  </w:style>
  <w:style w:type="character" w:styleId="CommentReference">
    <w:name w:val="annotation reference"/>
    <w:basedOn w:val="DefaultParagraphFont"/>
    <w:uiPriority w:val="99"/>
    <w:semiHidden/>
    <w:unhideWhenUsed/>
    <w:rsid w:val="00083195"/>
    <w:rPr>
      <w:sz w:val="16"/>
      <w:szCs w:val="16"/>
    </w:rPr>
  </w:style>
  <w:style w:type="paragraph" w:styleId="CommentText">
    <w:name w:val="annotation text"/>
    <w:basedOn w:val="Normal"/>
    <w:link w:val="CommentTextChar"/>
    <w:uiPriority w:val="99"/>
    <w:semiHidden/>
    <w:unhideWhenUsed/>
    <w:rsid w:val="00083195"/>
    <w:rPr>
      <w:sz w:val="20"/>
      <w:szCs w:val="20"/>
    </w:rPr>
  </w:style>
  <w:style w:type="character" w:customStyle="1" w:styleId="CommentTextChar">
    <w:name w:val="Comment Text Char"/>
    <w:basedOn w:val="DefaultParagraphFont"/>
    <w:link w:val="CommentText"/>
    <w:uiPriority w:val="99"/>
    <w:semiHidden/>
    <w:rsid w:val="0008319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83195"/>
    <w:rPr>
      <w:b/>
      <w:bCs/>
    </w:rPr>
  </w:style>
  <w:style w:type="character" w:customStyle="1" w:styleId="CommentSubjectChar">
    <w:name w:val="Comment Subject Char"/>
    <w:basedOn w:val="CommentTextChar"/>
    <w:link w:val="CommentSubject"/>
    <w:uiPriority w:val="99"/>
    <w:semiHidden/>
    <w:rsid w:val="00083195"/>
    <w:rPr>
      <w:rFonts w:ascii="Times New Roman" w:eastAsia="Times New Roman" w:hAnsi="Times New Roman" w:cs="Times New Roman"/>
      <w:b/>
      <w:bCs/>
      <w:kern w:val="0"/>
      <w:sz w:val="20"/>
      <w:szCs w:val="20"/>
      <w:lang w:eastAsia="en-GB"/>
      <w14:ligatures w14:val="none"/>
    </w:rPr>
  </w:style>
  <w:style w:type="paragraph" w:styleId="NormalWeb">
    <w:name w:val="Normal (Web)"/>
    <w:basedOn w:val="Normal"/>
    <w:uiPriority w:val="99"/>
    <w:semiHidden/>
    <w:unhideWhenUsed/>
    <w:rsid w:val="00FB4D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8a24bc-a98d-4025-9c60-48c19a142069}" enabled="0" method="" siteId="{648a24bc-a98d-4025-9c60-48c19a14206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2385</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Johansson</dc:creator>
  <cp:keywords/>
  <dc:description/>
  <cp:lastModifiedBy>Stefan Johansson</cp:lastModifiedBy>
  <cp:revision>3</cp:revision>
  <dcterms:created xsi:type="dcterms:W3CDTF">2026-03-05T21:24:00Z</dcterms:created>
  <dcterms:modified xsi:type="dcterms:W3CDTF">2026-03-05T21:25:00Z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id="PsbblWRg"/&gt;&lt;style id="http://www.zotero.org/styles/american-chemical-society" hasBibliography="1" bibliographyStyleHasBeenSet="1"/&gt;&lt;prefs&gt;&lt;pref name="fieldType" value="Field"/&gt;&lt;/prefs&gt;&lt;/data&gt;</vt:lpwstr>
  </property>
  <property fmtid="{D5CDD505-2E9C-101B-9397-08002B2CF9AE}" pid="3" name="ZOTERO_PREF_2">
    <vt:lpwstr/>
  </property>
</Properties>
</file>