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6C" w:rsidRDefault="0099736C" w:rsidP="00C93516">
      <w:pPr>
        <w:sectPr w:rsidR="0099736C" w:rsidSect="00DA300A">
          <w:headerReference w:type="default" r:id="rId7"/>
          <w:headerReference w:type="first" r:id="rId8"/>
          <w:footerReference w:type="first" r:id="rId9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:rsidR="0099736C" w:rsidRPr="000D30DE" w:rsidRDefault="0099736C" w:rsidP="007B061C"/>
    <w:p w:rsidR="007B7F91" w:rsidRDefault="007B7F91" w:rsidP="007B061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</w:tblGrid>
      <w:tr w:rsidR="001874B5" w:rsidRPr="001874B5" w:rsidTr="001874B5">
        <w:tc>
          <w:tcPr>
            <w:tcW w:w="4550" w:type="dxa"/>
            <w:shd w:val="clear" w:color="auto" w:fill="auto"/>
          </w:tcPr>
          <w:p w:rsidR="001874B5" w:rsidRPr="001874B5" w:rsidRDefault="001874B5" w:rsidP="007B061C">
            <w:pPr>
              <w:rPr>
                <w:color w:val="auto"/>
              </w:rPr>
            </w:pPr>
            <w:r w:rsidRPr="001874B5">
              <w:rPr>
                <w:color w:val="auto"/>
              </w:rPr>
              <w:t>Klinisk institutt 2</w:t>
            </w:r>
          </w:p>
        </w:tc>
      </w:tr>
      <w:tr w:rsidR="001874B5" w:rsidRPr="001874B5" w:rsidTr="001874B5">
        <w:tc>
          <w:tcPr>
            <w:tcW w:w="4550" w:type="dxa"/>
            <w:shd w:val="clear" w:color="auto" w:fill="auto"/>
          </w:tcPr>
          <w:p w:rsidR="001874B5" w:rsidRPr="001874B5" w:rsidRDefault="001874B5" w:rsidP="007B061C">
            <w:pPr>
              <w:rPr>
                <w:color w:val="auto"/>
              </w:rPr>
            </w:pPr>
            <w:r w:rsidRPr="001874B5">
              <w:rPr>
                <w:color w:val="auto"/>
              </w:rPr>
              <w:t>Institutt for global helse og samfunnsmedisin</w:t>
            </w:r>
          </w:p>
        </w:tc>
      </w:tr>
      <w:tr w:rsidR="001874B5" w:rsidRPr="001874B5" w:rsidTr="001874B5">
        <w:tc>
          <w:tcPr>
            <w:tcW w:w="4550" w:type="dxa"/>
            <w:shd w:val="clear" w:color="auto" w:fill="auto"/>
          </w:tcPr>
          <w:p w:rsidR="001874B5" w:rsidRPr="001874B5" w:rsidRDefault="001874B5" w:rsidP="007B061C">
            <w:pPr>
              <w:rPr>
                <w:color w:val="auto"/>
              </w:rPr>
            </w:pPr>
            <w:r w:rsidRPr="001874B5">
              <w:rPr>
                <w:color w:val="auto"/>
              </w:rPr>
              <w:t>Institutt for klinisk odontologi</w:t>
            </w:r>
          </w:p>
        </w:tc>
      </w:tr>
      <w:tr w:rsidR="001874B5" w:rsidRPr="001874B5" w:rsidTr="001874B5">
        <w:tc>
          <w:tcPr>
            <w:tcW w:w="4550" w:type="dxa"/>
            <w:shd w:val="clear" w:color="auto" w:fill="auto"/>
          </w:tcPr>
          <w:p w:rsidR="001874B5" w:rsidRPr="001874B5" w:rsidRDefault="001874B5" w:rsidP="007B061C">
            <w:pPr>
              <w:rPr>
                <w:color w:val="auto"/>
              </w:rPr>
            </w:pPr>
            <w:r w:rsidRPr="001874B5">
              <w:rPr>
                <w:color w:val="auto"/>
              </w:rPr>
              <w:t>Klinisk institutt 1</w:t>
            </w:r>
          </w:p>
        </w:tc>
      </w:tr>
      <w:tr w:rsidR="001874B5" w:rsidRPr="001874B5" w:rsidTr="001874B5">
        <w:tc>
          <w:tcPr>
            <w:tcW w:w="4550" w:type="dxa"/>
            <w:shd w:val="clear" w:color="auto" w:fill="auto"/>
          </w:tcPr>
          <w:p w:rsidR="001874B5" w:rsidRPr="001874B5" w:rsidRDefault="001874B5" w:rsidP="007B061C">
            <w:pPr>
              <w:rPr>
                <w:color w:val="auto"/>
              </w:rPr>
            </w:pPr>
            <w:r w:rsidRPr="001874B5">
              <w:rPr>
                <w:color w:val="auto"/>
              </w:rPr>
              <w:t>Institutt for biomedisin</w:t>
            </w:r>
          </w:p>
        </w:tc>
      </w:tr>
    </w:tbl>
    <w:p w:rsidR="0099736C" w:rsidRDefault="0099736C" w:rsidP="007B061C"/>
    <w:p w:rsidR="0099736C" w:rsidRPr="007422D3" w:rsidRDefault="0099736C" w:rsidP="0099736C">
      <w:pPr>
        <w:pStyle w:val="Fortekstliten"/>
        <w:rPr>
          <w:rStyle w:val="AdressefeltTegn"/>
          <w:sz w:val="18"/>
          <w:szCs w:val="18"/>
        </w:rPr>
      </w:pPr>
      <w:r>
        <w:rPr>
          <w:rStyle w:val="AdressefeltTegn"/>
          <w:sz w:val="18"/>
          <w:szCs w:val="18"/>
        </w:rPr>
        <w:tab/>
      </w:r>
    </w:p>
    <w:p w:rsidR="0099736C" w:rsidRDefault="0099736C" w:rsidP="0099736C">
      <w:pPr>
        <w:pStyle w:val="Fortekstliten"/>
        <w:rPr>
          <w:color w:val="auto"/>
          <w:sz w:val="22"/>
        </w:rPr>
      </w:pPr>
      <w:r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41"/>
        <w:gridCol w:w="3031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1874B5" w:rsidP="00CF068A">
            <w:pPr>
              <w:pStyle w:val="Adressefelt"/>
            </w:pPr>
            <w:bookmarkStart w:id="10" w:name="SAKSNR"/>
            <w:r>
              <w:t>2016/2121</w:t>
            </w:r>
            <w:bookmarkEnd w:id="10"/>
            <w:r w:rsidR="009C1687">
              <w:t>-</w:t>
            </w:r>
            <w:bookmarkStart w:id="11" w:name="SAKSBEHANDLERKODE"/>
            <w:r>
              <w:t>KANE</w:t>
            </w:r>
            <w:bookmarkEnd w:id="11"/>
          </w:p>
        </w:tc>
        <w:tc>
          <w:tcPr>
            <w:tcW w:w="3089" w:type="dxa"/>
            <w:shd w:val="clear" w:color="auto" w:fill="auto"/>
          </w:tcPr>
          <w:p w:rsidR="009C1687" w:rsidRDefault="001874B5" w:rsidP="00CF068A">
            <w:pPr>
              <w:pStyle w:val="Adressefelt"/>
            </w:pPr>
            <w:bookmarkStart w:id="12" w:name="BREVDATO"/>
            <w:r>
              <w:t>04.01.2017</w:t>
            </w:r>
            <w:bookmarkEnd w:id="12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3" w:name="UOFFPARAGRAF"/>
            <w:bookmarkEnd w:id="13"/>
          </w:p>
        </w:tc>
      </w:tr>
    </w:tbl>
    <w:p w:rsidR="003109C5" w:rsidRPr="00613F85" w:rsidRDefault="00E16C51" w:rsidP="002A0E97">
      <w:pPr>
        <w:pStyle w:val="Adressefelt"/>
        <w:rPr>
          <w:sz w:val="18"/>
          <w:szCs w:val="18"/>
        </w:rPr>
      </w:pPr>
      <w:r w:rsidRPr="00613F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36C" w:rsidRPr="0099736C" w:rsidRDefault="0099736C" w:rsidP="00997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99736C" w:rsidRDefault="0099736C" w:rsidP="0099736C"/>
                  </w:txbxContent>
                </v:textbox>
                <w10:anchorlock/>
              </v:shape>
            </w:pict>
          </mc:Fallback>
        </mc:AlternateContent>
      </w:r>
    </w:p>
    <w:p w:rsidR="001442A8" w:rsidRPr="001442A8" w:rsidRDefault="001442A8" w:rsidP="001442A8"/>
    <w:p w:rsidR="00EB1851" w:rsidRPr="00FD25DE" w:rsidRDefault="001874B5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4" w:name="TITTEL"/>
      <w:r>
        <w:rPr>
          <w:b/>
          <w:color w:val="auto"/>
          <w:sz w:val="28"/>
          <w:szCs w:val="28"/>
        </w:rPr>
        <w:t>Nye rutiner for oppfølging av etiske godkjenninger for doktorgradsprosjekter ved Det medisinsk-odontologiske fakultet</w:t>
      </w:r>
      <w:bookmarkEnd w:id="14"/>
    </w:p>
    <w:p w:rsidR="00361826" w:rsidRPr="00FD25DE" w:rsidRDefault="00E90762" w:rsidP="00E90762">
      <w:pPr>
        <w:rPr>
          <w:color w:val="auto"/>
        </w:rPr>
      </w:pPr>
      <w:bookmarkStart w:id="15" w:name="START"/>
      <w:bookmarkEnd w:id="15"/>
      <w:r w:rsidRPr="00EA7AC9">
        <w:rPr>
          <w:szCs w:val="24"/>
        </w:rPr>
        <w:t xml:space="preserve">Flere av kandidatene som tas opp til ph.d.-programmet ved </w:t>
      </w:r>
      <w:r>
        <w:rPr>
          <w:szCs w:val="24"/>
        </w:rPr>
        <w:t>MOF</w:t>
      </w:r>
      <w:r w:rsidRPr="00EA7AC9">
        <w:rPr>
          <w:szCs w:val="24"/>
        </w:rPr>
        <w:t xml:space="preserve"> arbeider med prosjekter som krever etiske godkjenninger </w:t>
      </w:r>
      <w:r w:rsidRPr="00EA7AC9">
        <w:rPr>
          <w:rFonts w:cstheme="minorHAnsi"/>
          <w:bCs/>
          <w:szCs w:val="24"/>
        </w:rPr>
        <w:t>(REK-</w:t>
      </w:r>
      <w:r w:rsidR="00D5793A">
        <w:rPr>
          <w:rFonts w:cstheme="minorHAnsi"/>
          <w:bCs/>
          <w:szCs w:val="24"/>
        </w:rPr>
        <w:t>godkjenning</w:t>
      </w:r>
      <w:r w:rsidRPr="00EA7AC9">
        <w:rPr>
          <w:rFonts w:cstheme="minorHAnsi"/>
          <w:bCs/>
          <w:szCs w:val="24"/>
        </w:rPr>
        <w:t xml:space="preserve"> eller </w:t>
      </w:r>
      <w:r>
        <w:rPr>
          <w:rFonts w:cstheme="minorHAnsi"/>
          <w:bCs/>
          <w:szCs w:val="24"/>
        </w:rPr>
        <w:t>andre godkjenninger</w:t>
      </w:r>
      <w:r w:rsidRPr="00EA7AC9">
        <w:rPr>
          <w:rFonts w:cstheme="minorHAnsi"/>
          <w:bCs/>
          <w:szCs w:val="24"/>
        </w:rPr>
        <w:t>)</w:t>
      </w:r>
      <w:r w:rsidRPr="00EA7AC9">
        <w:rPr>
          <w:szCs w:val="24"/>
        </w:rPr>
        <w:t xml:space="preserve">. </w:t>
      </w:r>
      <w:r>
        <w:rPr>
          <w:szCs w:val="24"/>
        </w:rPr>
        <w:t xml:space="preserve">Det foreligger imidlertid i dag svært begrensede muligheter for fakultetet å følge opp at slike etiske godkjenninger foreligger før prosjektets start. </w:t>
      </w:r>
      <w:bookmarkStart w:id="16" w:name="_GoBack"/>
      <w:r>
        <w:rPr>
          <w:szCs w:val="24"/>
        </w:rPr>
        <w:t xml:space="preserve">Forskningsseksjonen foreslo derfor til Programutvalget for forskerutdanning (PFU) at det innføres rutiner som kan gjøre det lettere </w:t>
      </w:r>
      <w:r w:rsidR="00D5793A">
        <w:rPr>
          <w:szCs w:val="24"/>
        </w:rPr>
        <w:t xml:space="preserve">for fakultetet og instituttene </w:t>
      </w:r>
      <w:r>
        <w:rPr>
          <w:szCs w:val="24"/>
        </w:rPr>
        <w:t>å følge opp</w:t>
      </w:r>
      <w:r w:rsidR="00D5793A">
        <w:rPr>
          <w:szCs w:val="24"/>
        </w:rPr>
        <w:t xml:space="preserve"> at etiske godkjenninger foreligger</w:t>
      </w:r>
      <w:r>
        <w:rPr>
          <w:szCs w:val="24"/>
        </w:rPr>
        <w:t xml:space="preserve"> </w:t>
      </w:r>
      <w:r w:rsidR="00D5793A">
        <w:rPr>
          <w:szCs w:val="24"/>
        </w:rPr>
        <w:t>i de tilfeller hvor dette kreves</w:t>
      </w:r>
      <w:r>
        <w:rPr>
          <w:szCs w:val="24"/>
        </w:rPr>
        <w:t>.</w:t>
      </w:r>
      <w:bookmarkEnd w:id="16"/>
    </w:p>
    <w:p w:rsidR="00361826" w:rsidRDefault="00361826" w:rsidP="009801B2">
      <w:pPr>
        <w:rPr>
          <w:color w:val="auto"/>
        </w:rPr>
      </w:pPr>
    </w:p>
    <w:p w:rsidR="00E90762" w:rsidRPr="00E90762" w:rsidRDefault="00E90762" w:rsidP="009801B2">
      <w:pPr>
        <w:rPr>
          <w:szCs w:val="24"/>
        </w:rPr>
      </w:pPr>
      <w:r w:rsidRPr="00E90762">
        <w:rPr>
          <w:szCs w:val="24"/>
        </w:rPr>
        <w:t xml:space="preserve">Saken ble diskutert i PFU på møte 30. november 2016. PFU vedtok følgende: </w:t>
      </w:r>
    </w:p>
    <w:p w:rsidR="00E90762" w:rsidRPr="00E90762" w:rsidRDefault="00E90762" w:rsidP="00E90762">
      <w:pPr>
        <w:pStyle w:val="Listeavsnitt"/>
        <w:numPr>
          <w:ilvl w:val="0"/>
          <w:numId w:val="2"/>
        </w:numPr>
        <w:spacing w:line="240" w:lineRule="atLeast"/>
        <w:rPr>
          <w:rFonts w:ascii="Arial" w:eastAsia="Times New Roman" w:hAnsi="Arial"/>
          <w:color w:val="000000"/>
          <w:szCs w:val="24"/>
          <w:lang w:eastAsia="nb-NO"/>
        </w:rPr>
      </w:pPr>
      <w:r w:rsidRPr="00E90762">
        <w:rPr>
          <w:rFonts w:ascii="Arial" w:eastAsia="Times New Roman" w:hAnsi="Arial"/>
          <w:color w:val="000000"/>
          <w:szCs w:val="24"/>
          <w:lang w:eastAsia="nb-NO"/>
        </w:rPr>
        <w:t xml:space="preserve">Alle prosjektbeskrivelser som legges ved søknader om opptak til ph.d.-programmet skal tydeliggjøre hvorvidt det aktuelle prosjektet krever etisk godkjenning, samt eventuell plan for å få prosjektet godkjent av rette myndighet. </w:t>
      </w:r>
    </w:p>
    <w:p w:rsidR="00E90762" w:rsidRPr="00E90762" w:rsidRDefault="00E90762" w:rsidP="00E90762">
      <w:pPr>
        <w:pStyle w:val="Listeavsnitt"/>
        <w:numPr>
          <w:ilvl w:val="0"/>
          <w:numId w:val="2"/>
        </w:numPr>
        <w:spacing w:line="240" w:lineRule="atLeast"/>
        <w:rPr>
          <w:rFonts w:ascii="Arial" w:eastAsia="Times New Roman" w:hAnsi="Arial"/>
          <w:color w:val="000000"/>
          <w:szCs w:val="24"/>
          <w:lang w:eastAsia="nb-NO"/>
        </w:rPr>
      </w:pPr>
      <w:r w:rsidRPr="00E90762">
        <w:rPr>
          <w:rFonts w:ascii="Arial" w:eastAsia="Times New Roman" w:hAnsi="Arial"/>
          <w:color w:val="000000"/>
          <w:szCs w:val="24"/>
          <w:lang w:eastAsia="nb-NO"/>
        </w:rPr>
        <w:t xml:space="preserve">For prosjekter som krever etisk godkjenning stilles følgende krav: </w:t>
      </w:r>
    </w:p>
    <w:p w:rsidR="00E90762" w:rsidRPr="00E90762" w:rsidRDefault="00E90762" w:rsidP="00E90762">
      <w:pPr>
        <w:pStyle w:val="Listeavsnitt"/>
        <w:numPr>
          <w:ilvl w:val="0"/>
          <w:numId w:val="1"/>
        </w:numPr>
        <w:spacing w:line="240" w:lineRule="atLeast"/>
        <w:rPr>
          <w:rFonts w:ascii="Arial" w:eastAsia="Times New Roman" w:hAnsi="Arial"/>
          <w:color w:val="000000"/>
          <w:szCs w:val="24"/>
          <w:lang w:eastAsia="nb-NO"/>
        </w:rPr>
      </w:pPr>
      <w:r w:rsidRPr="00E90762">
        <w:rPr>
          <w:rFonts w:ascii="Arial" w:eastAsia="Times New Roman" w:hAnsi="Arial"/>
          <w:color w:val="000000"/>
          <w:szCs w:val="24"/>
          <w:lang w:eastAsia="nb-NO"/>
        </w:rPr>
        <w:t>Prosjektet skal være godkjent før oppstart.</w:t>
      </w:r>
    </w:p>
    <w:p w:rsidR="00E90762" w:rsidRPr="00E90762" w:rsidRDefault="00E90762" w:rsidP="00E90762">
      <w:pPr>
        <w:pStyle w:val="Listeavsnitt"/>
        <w:numPr>
          <w:ilvl w:val="0"/>
          <w:numId w:val="1"/>
        </w:numPr>
        <w:spacing w:line="240" w:lineRule="atLeast"/>
        <w:rPr>
          <w:rFonts w:ascii="Arial" w:eastAsia="Times New Roman" w:hAnsi="Arial"/>
          <w:color w:val="000000"/>
          <w:szCs w:val="24"/>
          <w:lang w:eastAsia="nb-NO"/>
        </w:rPr>
      </w:pPr>
      <w:r w:rsidRPr="00E90762">
        <w:rPr>
          <w:rFonts w:ascii="Arial" w:eastAsia="Times New Roman" w:hAnsi="Arial"/>
          <w:color w:val="000000"/>
          <w:szCs w:val="24"/>
          <w:lang w:eastAsia="nb-NO"/>
        </w:rPr>
        <w:t xml:space="preserve">Etiske godkjenninger skal dokumenteres til fakultetet og skal helst legges ved søknad om opptak til ph.d.-programmet. Dersom prosjektet ikke er godkjent på opptakstidspunktet er midtveisevaluering siste frist for å dokumentere godkjenning. </w:t>
      </w:r>
      <w:r>
        <w:rPr>
          <w:rFonts w:ascii="Arial" w:eastAsia="Times New Roman" w:hAnsi="Arial"/>
          <w:color w:val="000000"/>
          <w:szCs w:val="24"/>
          <w:lang w:eastAsia="nb-NO"/>
        </w:rPr>
        <w:t xml:space="preserve">I et slikt tilfelle er det instituttets ansvar å kontrollere at prosjektet er godkjent </w:t>
      </w:r>
      <w:r w:rsidRPr="00E90762">
        <w:rPr>
          <w:rFonts w:ascii="Arial" w:eastAsia="Times New Roman" w:hAnsi="Arial"/>
          <w:color w:val="000000"/>
          <w:szCs w:val="24"/>
          <w:lang w:eastAsia="nb-NO"/>
        </w:rPr>
        <w:t>av rette myndighet</w:t>
      </w:r>
      <w:r>
        <w:rPr>
          <w:rFonts w:ascii="Arial" w:eastAsia="Times New Roman" w:hAnsi="Arial"/>
          <w:color w:val="000000"/>
          <w:szCs w:val="24"/>
          <w:lang w:eastAsia="nb-NO"/>
        </w:rPr>
        <w:t xml:space="preserve">. </w:t>
      </w:r>
    </w:p>
    <w:p w:rsidR="00E90762" w:rsidRPr="00E90762" w:rsidRDefault="00E90762" w:rsidP="00E90762">
      <w:pPr>
        <w:spacing w:line="240" w:lineRule="atLeast"/>
        <w:rPr>
          <w:szCs w:val="24"/>
        </w:rPr>
      </w:pPr>
      <w:r w:rsidRPr="00E90762">
        <w:rPr>
          <w:szCs w:val="24"/>
        </w:rPr>
        <w:t>Praksisen som skisseres over er lik</w:t>
      </w:r>
      <w:r>
        <w:rPr>
          <w:szCs w:val="24"/>
        </w:rPr>
        <w:t xml:space="preserve"> som ved</w:t>
      </w:r>
      <w:r w:rsidRPr="00E90762">
        <w:rPr>
          <w:szCs w:val="24"/>
        </w:rPr>
        <w:t xml:space="preserve"> Universitetet i Oslo. </w:t>
      </w:r>
    </w:p>
    <w:p w:rsidR="00E90762" w:rsidRPr="00E90762" w:rsidRDefault="00E90762" w:rsidP="00E90762">
      <w:pPr>
        <w:spacing w:line="240" w:lineRule="atLeast"/>
        <w:rPr>
          <w:szCs w:val="24"/>
        </w:rPr>
      </w:pPr>
    </w:p>
    <w:p w:rsidR="00AB60C7" w:rsidRPr="00E90762" w:rsidRDefault="00E90762" w:rsidP="009801B2">
      <w:pPr>
        <w:rPr>
          <w:szCs w:val="24"/>
        </w:rPr>
      </w:pPr>
      <w:r w:rsidRPr="00E90762">
        <w:rPr>
          <w:szCs w:val="24"/>
        </w:rPr>
        <w:t xml:space="preserve">I tillegg til oppfølgingen som gjøres ved fakultetet, vil Forskningsadministrativ avdeling innføre et punkt om etiske godkjenninger i den årlige fremdriftsrapporteringen. </w:t>
      </w:r>
    </w:p>
    <w:p w:rsidR="00BB197F" w:rsidRPr="00E90762" w:rsidRDefault="00BB197F" w:rsidP="009801B2">
      <w:pPr>
        <w:rPr>
          <w:szCs w:val="24"/>
        </w:rPr>
      </w:pPr>
    </w:p>
    <w:p w:rsidR="00BB197F" w:rsidRPr="00E90762" w:rsidRDefault="00E90762" w:rsidP="009801B2">
      <w:pPr>
        <w:rPr>
          <w:szCs w:val="24"/>
        </w:rPr>
      </w:pPr>
      <w:r>
        <w:rPr>
          <w:szCs w:val="24"/>
        </w:rPr>
        <w:t>Instituttene bes med dette om å gjøre seg kjent med de nye rutinene og sørge for at di</w:t>
      </w:r>
      <w:r w:rsidR="00D5793A">
        <w:rPr>
          <w:szCs w:val="24"/>
        </w:rPr>
        <w:t xml:space="preserve">sse formidles ut til fagmiljøene. Instituttene er velkommen til å ta kontakt med Forskningsseksjonen ved fakultetet dersom de har noen spørsmål. </w:t>
      </w:r>
    </w:p>
    <w:p w:rsidR="00BB197F" w:rsidRPr="00E90762" w:rsidRDefault="00BB197F" w:rsidP="009801B2">
      <w:pPr>
        <w:rPr>
          <w:szCs w:val="24"/>
        </w:rPr>
      </w:pPr>
    </w:p>
    <w:p w:rsidR="001C64F5" w:rsidRPr="00FD25DE" w:rsidRDefault="001C64F5" w:rsidP="009801B2">
      <w:pPr>
        <w:rPr>
          <w:color w:val="auto"/>
        </w:rPr>
      </w:pPr>
    </w:p>
    <w:p w:rsidR="00361826" w:rsidRPr="00FD25DE" w:rsidRDefault="00361826" w:rsidP="009801B2">
      <w:pPr>
        <w:rPr>
          <w:color w:val="auto"/>
        </w:rPr>
      </w:pPr>
    </w:p>
    <w:p w:rsidR="00E40E65" w:rsidRPr="00FD25DE" w:rsidRDefault="006B6CBA" w:rsidP="007B061C">
      <w:r>
        <w:t>Vennlig hilsen</w:t>
      </w:r>
    </w:p>
    <w:p w:rsidR="0004292F" w:rsidRDefault="0004292F" w:rsidP="007B061C"/>
    <w:p w:rsidR="00D5793A" w:rsidRPr="00970A6D" w:rsidRDefault="00D5793A" w:rsidP="007B061C"/>
    <w:p w:rsidR="00D67009" w:rsidRPr="00970A6D" w:rsidRDefault="00D5793A" w:rsidP="007B061C">
      <w:r>
        <w:t>Roland Jonsson</w:t>
      </w:r>
    </w:p>
    <w:p w:rsidR="00BB7EF7" w:rsidRPr="00970A6D" w:rsidRDefault="00D5793A" w:rsidP="005E3A14">
      <w:pPr>
        <w:tabs>
          <w:tab w:val="left" w:pos="5529"/>
        </w:tabs>
      </w:pPr>
      <w:r>
        <w:t>leder, Programutvalget</w:t>
      </w:r>
      <w:r w:rsidR="00BB7EF7" w:rsidRPr="00970A6D">
        <w:tab/>
      </w:r>
      <w:bookmarkStart w:id="17" w:name="SAKSBEHANDLERNAVN"/>
      <w:r w:rsidR="001874B5">
        <w:t>Kaia Nepstad</w:t>
      </w:r>
      <w:bookmarkEnd w:id="17"/>
    </w:p>
    <w:p w:rsidR="0004292F" w:rsidRPr="00970A6D" w:rsidRDefault="0004292F" w:rsidP="005E3A14">
      <w:pPr>
        <w:pStyle w:val="Kursiv"/>
        <w:tabs>
          <w:tab w:val="left" w:pos="5529"/>
        </w:tabs>
        <w:rPr>
          <w:i w:val="0"/>
        </w:rPr>
      </w:pPr>
      <w:r w:rsidRPr="00970A6D">
        <w:rPr>
          <w:i w:val="0"/>
        </w:rPr>
        <w:tab/>
      </w:r>
      <w:bookmarkStart w:id="18" w:name="SAKSBEHANDLERSTILLING"/>
      <w:r w:rsidR="001874B5">
        <w:rPr>
          <w:i w:val="0"/>
        </w:rPr>
        <w:t>seniorkonsulent</w:t>
      </w:r>
      <w:bookmarkEnd w:id="18"/>
    </w:p>
    <w:p w:rsidR="0004292F" w:rsidRPr="00970A6D" w:rsidRDefault="0004292F" w:rsidP="007B061C"/>
    <w:p w:rsidR="0004292F" w:rsidRPr="00970A6D" w:rsidRDefault="0004292F" w:rsidP="00105A0B"/>
    <w:p w:rsidR="00225DAD" w:rsidRPr="00970A6D" w:rsidRDefault="00225DAD" w:rsidP="00105A0B"/>
    <w:p w:rsidR="00225DAD" w:rsidRPr="00970A6D" w:rsidRDefault="00225DAD" w:rsidP="00105A0B"/>
    <w:p w:rsidR="00225DAD" w:rsidRDefault="00225DAD" w:rsidP="00105A0B"/>
    <w:p w:rsidR="00F961EB" w:rsidRDefault="00F961EB" w:rsidP="00105A0B"/>
    <w:p w:rsidR="00DF7850" w:rsidRDefault="00DF7850" w:rsidP="00105A0B"/>
    <w:p w:rsidR="00DF7850" w:rsidRDefault="00DF7850" w:rsidP="00105A0B">
      <w:bookmarkStart w:id="19" w:name="VEDLEGG"/>
      <w:bookmarkEnd w:id="19"/>
    </w:p>
    <w:p w:rsidR="004866AB" w:rsidRPr="0004292F" w:rsidRDefault="004866AB" w:rsidP="00105A0B">
      <w:bookmarkStart w:id="20" w:name="INTERNKOPITILTABELL"/>
      <w:bookmarkEnd w:id="20"/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FD" w:rsidRDefault="00D410FD">
      <w:r>
        <w:separator/>
      </w:r>
    </w:p>
  </w:endnote>
  <w:endnote w:type="continuationSeparator" w:id="0">
    <w:p w:rsidR="00D410FD" w:rsidRDefault="00D4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>Dette er et UiB-internt notat som godkjennes elektronisk i ePhorte</w:t>
          </w:r>
        </w:p>
      </w:tc>
    </w:tr>
    <w:tr w:rsidR="00E25635" w:rsidTr="00E55DE1"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1874B5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medisinsk-odontologiske fakultet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1874B5">
            <w:rPr>
              <w:rFonts w:cs="Arial"/>
              <w:sz w:val="16"/>
              <w:szCs w:val="16"/>
            </w:rPr>
            <w:t>55582086</w:t>
          </w:r>
          <w:bookmarkEnd w:id="2"/>
        </w:p>
        <w:p w:rsidR="00E25635" w:rsidRPr="00DE08B0" w:rsidRDefault="001874B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post@mofa.uib.no</w:t>
          </w:r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Avsenderadresse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1874B5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4"/>
        </w:p>
        <w:p w:rsidR="00E55DE1" w:rsidRPr="00DE08B0" w:rsidRDefault="001874B5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1874B5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Armauer Hansen Hus, Haukelandsveien 28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1874B5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Kaia Nepstad</w:t>
          </w:r>
          <w:bookmarkEnd w:id="8"/>
        </w:p>
        <w:p w:rsidR="00E55DE1" w:rsidRPr="00DE08B0" w:rsidRDefault="001874B5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55588571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167093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167093">
      <w:rPr>
        <w:noProof/>
        <w:szCs w:val="16"/>
      </w:rPr>
      <w:t>2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FD" w:rsidRDefault="00D410FD">
      <w:r>
        <w:separator/>
      </w:r>
    </w:p>
  </w:footnote>
  <w:footnote w:type="continuationSeparator" w:id="0">
    <w:p w:rsidR="00D410FD" w:rsidRDefault="00D4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167093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167093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28" w:rsidRPr="007A3D95" w:rsidRDefault="00E16C51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1874B5" w:rsidP="006627C6">
    <w:pPr>
      <w:pStyle w:val="Avdeling"/>
      <w:spacing w:line="240" w:lineRule="auto"/>
    </w:pPr>
    <w:bookmarkStart w:id="0" w:name="ADMBETEGNELSE"/>
    <w:r>
      <w:t>Det medisinsk-odontologiske fakultet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CCB"/>
    <w:multiLevelType w:val="hybridMultilevel"/>
    <w:tmpl w:val="F0744828"/>
    <w:lvl w:ilvl="0" w:tplc="E0F6D8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44A1B"/>
    <w:multiLevelType w:val="hybridMultilevel"/>
    <w:tmpl w:val="480C8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D8"/>
    <w:rsid w:val="00014D81"/>
    <w:rsid w:val="0002406B"/>
    <w:rsid w:val="00024779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67093"/>
    <w:rsid w:val="001843E7"/>
    <w:rsid w:val="00185628"/>
    <w:rsid w:val="001874B5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61C1F"/>
    <w:rsid w:val="004702BF"/>
    <w:rsid w:val="004866AB"/>
    <w:rsid w:val="00487DB4"/>
    <w:rsid w:val="00493F18"/>
    <w:rsid w:val="004B0228"/>
    <w:rsid w:val="004C6421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F33B3"/>
    <w:rsid w:val="00606E1C"/>
    <w:rsid w:val="00613F85"/>
    <w:rsid w:val="00614CD6"/>
    <w:rsid w:val="00642FC1"/>
    <w:rsid w:val="006627C6"/>
    <w:rsid w:val="00665F31"/>
    <w:rsid w:val="006720D0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44D9C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637B5"/>
    <w:rsid w:val="00BB197F"/>
    <w:rsid w:val="00BB4C5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0FD"/>
    <w:rsid w:val="00D41602"/>
    <w:rsid w:val="00D519F9"/>
    <w:rsid w:val="00D54090"/>
    <w:rsid w:val="00D5793A"/>
    <w:rsid w:val="00D67009"/>
    <w:rsid w:val="00DA300A"/>
    <w:rsid w:val="00DA76BF"/>
    <w:rsid w:val="00DC60CF"/>
    <w:rsid w:val="00DC7B20"/>
    <w:rsid w:val="00DD1CDA"/>
    <w:rsid w:val="00DE08B0"/>
    <w:rsid w:val="00DE40C4"/>
    <w:rsid w:val="00DE67B8"/>
    <w:rsid w:val="00DE7012"/>
    <w:rsid w:val="00DF7850"/>
    <w:rsid w:val="00E13A0A"/>
    <w:rsid w:val="00E16C51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076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140D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56F9C49-251F-4DB6-8330-83570CA3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e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igtabel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bling">
    <w:name w:val="Hyperlink"/>
    <w:rsid w:val="00ED005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90762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470EEAAA.dotm</Template>
  <TotalTime>1</TotalTime>
  <Pages>2</Pages>
  <Words>352</Words>
  <Characters>1866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Kaia Nepstad</dc:creator>
  <cp:keywords/>
  <cp:lastModifiedBy>Ingvild Lekven Jonsvoll</cp:lastModifiedBy>
  <cp:revision>2</cp:revision>
  <cp:lastPrinted>2017-01-05T06:16:00Z</cp:lastPrinted>
  <dcterms:created xsi:type="dcterms:W3CDTF">2017-01-05T07:52:00Z</dcterms:created>
  <dcterms:modified xsi:type="dcterms:W3CDTF">2017-01-05T07:52:00Z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\\skuld.uib.no\home\kne022\ephorte\1004750_DOCX.XML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1047216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https%3a%2f%2feph-uib.uhad.no%2fephorte%2fshared%2faspx%2fDefault%2fdetails.aspx%3ff%3dViewJP%26JP_ID%3d736291%26LoadDocHandling%3dtrue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%5c%5cskuld.uib.no%5chome%5ckne022%5cephorte%5c1004750.DOCX</vt:lpwstr>
  </property>
  <property fmtid="{D5CDD505-2E9C-101B-9397-08002B2CF9AE}" pid="13" name="LinkId">
    <vt:i4>736291</vt:i4>
  </property>
</Properties>
</file>