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2EACBB" w14:textId="7BEF8272" w:rsidR="00964ABA" w:rsidRPr="000A5267" w:rsidRDefault="7BEF8272" w:rsidP="006F478A">
      <w:pPr>
        <w:spacing w:after="0" w:line="240" w:lineRule="auto"/>
        <w:jc w:val="center"/>
        <w:rPr>
          <w:b/>
          <w:bCs/>
          <w:szCs w:val="22"/>
          <w:lang w:val="en-US"/>
        </w:rPr>
      </w:pPr>
      <w:bookmarkStart w:id="0" w:name="_GoBack"/>
      <w:bookmarkEnd w:id="0"/>
      <w:r w:rsidRPr="000A5267">
        <w:rPr>
          <w:rFonts w:eastAsia="Arial" w:cs="Arial"/>
          <w:b/>
          <w:bCs/>
          <w:szCs w:val="22"/>
          <w:lang w:val="en-US"/>
        </w:rPr>
        <w:t>Tentative agenda Research Ethics workshop</w:t>
      </w:r>
    </w:p>
    <w:p w14:paraId="057DDC88" w14:textId="2DA2A848" w:rsidR="001257A9" w:rsidRPr="000A5267" w:rsidRDefault="2DA2A848" w:rsidP="006F478A">
      <w:pPr>
        <w:spacing w:after="0" w:line="240" w:lineRule="auto"/>
        <w:jc w:val="center"/>
        <w:rPr>
          <w:b/>
          <w:bCs/>
          <w:szCs w:val="22"/>
          <w:lang w:val="en-US"/>
        </w:rPr>
      </w:pPr>
      <w:r w:rsidRPr="2DA2A848">
        <w:rPr>
          <w:rFonts w:ascii="Arial" w:eastAsia="Arial" w:hAnsi="Arial" w:cs="Arial"/>
          <w:b/>
          <w:bCs/>
          <w:lang w:val="en-US"/>
        </w:rPr>
        <w:t>June 18&amp;19, 2015, Bergen, Norway</w:t>
      </w:r>
    </w:p>
    <w:p w14:paraId="684AC1D0" w14:textId="2A09F153" w:rsidR="001257A9" w:rsidRPr="000A5267" w:rsidRDefault="2DA2A848" w:rsidP="006F478A">
      <w:pPr>
        <w:spacing w:after="0" w:line="240" w:lineRule="auto"/>
        <w:jc w:val="center"/>
        <w:rPr>
          <w:b/>
          <w:bCs/>
          <w:szCs w:val="22"/>
          <w:lang w:val="en-US"/>
        </w:rPr>
      </w:pPr>
      <w:r w:rsidRPr="2DA2A848">
        <w:rPr>
          <w:rFonts w:ascii="Arial" w:eastAsia="Arial" w:hAnsi="Arial" w:cs="Arial"/>
          <w:b/>
          <w:bCs/>
          <w:lang w:val="en-US"/>
        </w:rPr>
        <w:t>Ethics and Clinical Research</w:t>
      </w:r>
    </w:p>
    <w:p w14:paraId="4846B637" w14:textId="4FA5CE60" w:rsidR="001257A9" w:rsidRPr="000A5267" w:rsidRDefault="001257A9" w:rsidP="006F478A">
      <w:pPr>
        <w:spacing w:after="0" w:line="240" w:lineRule="auto"/>
        <w:rPr>
          <w:szCs w:val="22"/>
          <w:lang w:val="en-US"/>
        </w:rPr>
      </w:pPr>
    </w:p>
    <w:p w14:paraId="238E4DBC" w14:textId="0015C9DF" w:rsidR="00716E99" w:rsidRPr="000A5267" w:rsidRDefault="2DA2A848" w:rsidP="006F478A">
      <w:pPr>
        <w:spacing w:after="0" w:line="240" w:lineRule="auto"/>
        <w:rPr>
          <w:szCs w:val="22"/>
          <w:lang w:val="en-US"/>
        </w:rPr>
      </w:pPr>
      <w:r w:rsidRPr="006F478A">
        <w:rPr>
          <w:rFonts w:ascii="Arial" w:eastAsia="Arial" w:hAnsi="Arial" w:cs="Arial"/>
          <w:szCs w:val="22"/>
          <w:lang w:val="en-US"/>
        </w:rPr>
        <w:t>Many institutions and countries have recently given higher priority to the development of clinical research centers.</w:t>
      </w:r>
      <w:r w:rsidRPr="006F478A">
        <w:rPr>
          <w:rFonts w:ascii="Arial" w:eastAsia="Arial" w:hAnsi="Arial" w:cs="Arial"/>
          <w:lang w:val="en-US"/>
        </w:rPr>
        <w:t xml:space="preserve"> For some countries it is seen as a strategy to attract foreign investment. For other countries it is seen as essential to develop cost-effective interventions for health systems that are under pressure financially. Two controversial issues in research ethics have direct relevance for these two developments, the ethics of risk judgments and the ethics of international collaborative research. This workshop will examine both issues.</w:t>
      </w:r>
    </w:p>
    <w:p w14:paraId="3D8ACC2C" w14:textId="03609FF1" w:rsidR="2DA2A848" w:rsidRPr="006F478A" w:rsidRDefault="2DA2A848" w:rsidP="006F478A">
      <w:pPr>
        <w:spacing w:after="0" w:line="240" w:lineRule="auto"/>
        <w:rPr>
          <w:lang w:val="en-US"/>
        </w:rPr>
      </w:pPr>
    </w:p>
    <w:p w14:paraId="4F165DC3" w14:textId="7EB8E935" w:rsidR="00F4270C" w:rsidRPr="006F478A" w:rsidRDefault="2DA2A848" w:rsidP="006F478A">
      <w:pPr>
        <w:spacing w:after="0" w:line="240" w:lineRule="auto"/>
        <w:rPr>
          <w:rFonts w:ascii="Arial" w:hAnsi="Arial" w:cs="Arial"/>
          <w:b/>
          <w:szCs w:val="22"/>
          <w:lang w:val="en-US"/>
        </w:rPr>
      </w:pPr>
      <w:r w:rsidRPr="006F478A">
        <w:rPr>
          <w:rFonts w:ascii="Arial" w:eastAsia="Arial" w:hAnsi="Arial" w:cs="Arial"/>
          <w:b/>
          <w:bCs/>
          <w:lang w:val="en-US"/>
        </w:rPr>
        <w:t>The controversy over the Ethics of Risk Judgments in Clinical Research</w:t>
      </w:r>
    </w:p>
    <w:p w14:paraId="2D9CB4FA" w14:textId="1E177279" w:rsidR="007C35BE" w:rsidRPr="006F478A" w:rsidRDefault="009B337B" w:rsidP="006F478A">
      <w:pPr>
        <w:spacing w:after="0" w:line="240" w:lineRule="auto"/>
        <w:rPr>
          <w:rFonts w:ascii="Arial" w:hAnsi="Arial" w:cs="Arial"/>
          <w:lang w:val="en-US"/>
        </w:rPr>
      </w:pPr>
      <w:r w:rsidRPr="006F478A">
        <w:rPr>
          <w:rFonts w:ascii="Arial" w:eastAsia="Arial" w:hAnsi="Arial" w:cs="Arial"/>
          <w:color w:val="000000" w:themeColor="text1"/>
          <w:lang w:val="en-US"/>
        </w:rPr>
        <w:t>In 2013 the US Office of Human Research Protection (OHRP) notified those responsible for the conduct and review of the S</w:t>
      </w:r>
      <w:r w:rsidRPr="006F478A">
        <w:rPr>
          <w:rFonts w:ascii="Arial" w:eastAsia="Arial" w:hAnsi="Arial" w:cs="Arial"/>
          <w:color w:val="000000" w:themeColor="text1"/>
          <w:shd w:val="clear" w:color="auto" w:fill="FFFFFF"/>
          <w:lang w:val="en-US" w:eastAsia="nb-NO"/>
        </w:rPr>
        <w:t xml:space="preserve">urfactant, Positive Pressure, </w:t>
      </w:r>
      <w:proofErr w:type="gramStart"/>
      <w:r w:rsidRPr="006F478A">
        <w:rPr>
          <w:rFonts w:ascii="Arial" w:eastAsia="Arial" w:hAnsi="Arial" w:cs="Arial"/>
          <w:color w:val="000000" w:themeColor="text1"/>
          <w:shd w:val="clear" w:color="auto" w:fill="FFFFFF"/>
          <w:lang w:val="en-US" w:eastAsia="nb-NO"/>
        </w:rPr>
        <w:t>Oxygenation</w:t>
      </w:r>
      <w:proofErr w:type="gramEnd"/>
      <w:r w:rsidRPr="006F478A">
        <w:rPr>
          <w:rFonts w:ascii="Arial" w:eastAsia="Arial" w:hAnsi="Arial" w:cs="Arial"/>
          <w:color w:val="000000" w:themeColor="text1"/>
          <w:shd w:val="clear" w:color="auto" w:fill="FFFFFF"/>
          <w:lang w:val="en-US" w:eastAsia="nb-NO"/>
        </w:rPr>
        <w:t xml:space="preserve"> Randomized Trial (SUPPORT) that it was in violation of the US research ethics regulations. This judgment by the US regulatory agency made this one of the most controversial trials in </w:t>
      </w:r>
      <w:r w:rsidR="009909E2" w:rsidRPr="006F478A">
        <w:rPr>
          <w:rFonts w:ascii="Arial" w:eastAsia="Arial" w:hAnsi="Arial" w:cs="Arial"/>
          <w:color w:val="000000" w:themeColor="text1"/>
          <w:shd w:val="clear" w:color="auto" w:fill="FFFFFF"/>
          <w:lang w:val="en-US" w:eastAsia="nb-NO"/>
        </w:rPr>
        <w:t xml:space="preserve">recent research ethics. It </w:t>
      </w:r>
      <w:r w:rsidRPr="006F478A">
        <w:rPr>
          <w:rFonts w:ascii="Arial" w:eastAsia="Arial" w:hAnsi="Arial" w:cs="Arial"/>
          <w:color w:val="000000" w:themeColor="text1"/>
          <w:shd w:val="clear" w:color="auto" w:fill="FFFFFF"/>
          <w:lang w:val="en-US" w:eastAsia="nb-NO"/>
        </w:rPr>
        <w:t xml:space="preserve">was clear that the controversial issues raised by this case affect how one should conduct comparative effectiveness research in general: that is </w:t>
      </w:r>
      <w:proofErr w:type="gramStart"/>
      <w:r w:rsidRPr="006F478A">
        <w:rPr>
          <w:rFonts w:ascii="Arial" w:eastAsia="Arial" w:hAnsi="Arial" w:cs="Arial"/>
          <w:color w:val="000000" w:themeColor="text1"/>
          <w:shd w:val="clear" w:color="auto" w:fill="FFFFFF"/>
          <w:lang w:val="en-US" w:eastAsia="nb-NO"/>
        </w:rPr>
        <w:t>research</w:t>
      </w:r>
      <w:proofErr w:type="gramEnd"/>
      <w:r w:rsidRPr="006F478A">
        <w:rPr>
          <w:rFonts w:ascii="Arial" w:eastAsia="Arial" w:hAnsi="Arial" w:cs="Arial"/>
          <w:color w:val="000000" w:themeColor="text1"/>
          <w:shd w:val="clear" w:color="auto" w:fill="FFFFFF"/>
          <w:lang w:val="en-US" w:eastAsia="nb-NO"/>
        </w:rPr>
        <w:t xml:space="preserve"> where two interventions already in general use are compared for their comparative advantages. The controversy also exposes uncertainties about how to make risk judgments appropriately in clinical research in general.  </w:t>
      </w:r>
      <w:r w:rsidR="0010477C" w:rsidRPr="006F478A">
        <w:rPr>
          <w:rFonts w:ascii="Arial" w:eastAsia="Arial" w:hAnsi="Arial" w:cs="Arial"/>
          <w:color w:val="000000" w:themeColor="text1"/>
          <w:lang w:val="en-US"/>
        </w:rPr>
        <w:t>The identification and assessment of the risks of research is particularly important</w:t>
      </w:r>
      <w:r w:rsidR="007C35BE" w:rsidRPr="006F478A">
        <w:rPr>
          <w:rFonts w:ascii="Arial" w:eastAsia="Arial" w:hAnsi="Arial" w:cs="Arial"/>
          <w:color w:val="000000" w:themeColor="text1"/>
          <w:lang w:val="en-US"/>
        </w:rPr>
        <w:t xml:space="preserve"> </w:t>
      </w:r>
      <w:r w:rsidR="0010477C" w:rsidRPr="006F478A">
        <w:rPr>
          <w:rFonts w:ascii="Arial" w:eastAsia="Arial" w:hAnsi="Arial" w:cs="Arial"/>
          <w:color w:val="000000" w:themeColor="text1"/>
          <w:lang w:val="en-US"/>
        </w:rPr>
        <w:t xml:space="preserve">in research on subjects who cannot give consent, such as pediatric research and Alzheimer research. </w:t>
      </w:r>
      <w:r w:rsidR="00F67A57" w:rsidRPr="006F478A">
        <w:rPr>
          <w:rFonts w:ascii="Arial" w:eastAsia="Arial" w:hAnsi="Arial" w:cs="Arial"/>
          <w:color w:val="000000" w:themeColor="text1"/>
          <w:lang w:val="en-US"/>
        </w:rPr>
        <w:t>The workshop will</w:t>
      </w:r>
      <w:r w:rsidR="009909E2" w:rsidRPr="006F478A">
        <w:rPr>
          <w:rFonts w:ascii="Arial" w:eastAsia="Arial" w:hAnsi="Arial" w:cs="Arial"/>
          <w:color w:val="000000" w:themeColor="text1"/>
          <w:lang w:val="en-US"/>
        </w:rPr>
        <w:t xml:space="preserve"> summarize current views on this topic and attempt to develop a structure for the ethics of risk judgments in clinical research</w:t>
      </w:r>
    </w:p>
    <w:p w14:paraId="70A5462C" w14:textId="77777777" w:rsidR="006F478A" w:rsidRDefault="006F478A" w:rsidP="006F478A">
      <w:pPr>
        <w:spacing w:after="0" w:line="240" w:lineRule="auto"/>
        <w:rPr>
          <w:rFonts w:ascii="Arial" w:eastAsia="Arial" w:hAnsi="Arial" w:cs="Arial"/>
          <w:b/>
          <w:bCs/>
          <w:color w:val="000000" w:themeColor="text1"/>
          <w:lang w:val="en-US"/>
        </w:rPr>
      </w:pPr>
    </w:p>
    <w:p w14:paraId="4E544AB1" w14:textId="77777777" w:rsidR="006F478A" w:rsidRDefault="2DA2A848" w:rsidP="006F478A">
      <w:pPr>
        <w:spacing w:after="0" w:line="240" w:lineRule="auto"/>
        <w:rPr>
          <w:rFonts w:ascii="Arial" w:eastAsia="Arial" w:hAnsi="Arial" w:cs="Arial"/>
          <w:color w:val="000000" w:themeColor="text1"/>
          <w:lang w:val="en-US"/>
        </w:rPr>
      </w:pPr>
      <w:proofErr w:type="gramStart"/>
      <w:r w:rsidRPr="006F478A">
        <w:rPr>
          <w:rFonts w:ascii="Arial" w:eastAsia="Arial" w:hAnsi="Arial" w:cs="Arial"/>
          <w:b/>
          <w:bCs/>
          <w:color w:val="000000" w:themeColor="text1"/>
          <w:lang w:val="en-US"/>
        </w:rPr>
        <w:t>Current status of debates in the ethics of international collaborative research</w:t>
      </w:r>
      <w:r w:rsidRPr="006F478A">
        <w:rPr>
          <w:rFonts w:ascii="Arial" w:eastAsia="Arial" w:hAnsi="Arial" w:cs="Arial"/>
          <w:color w:val="000000" w:themeColor="text1"/>
          <w:lang w:val="en-US"/>
        </w:rPr>
        <w:t>.</w:t>
      </w:r>
      <w:proofErr w:type="gramEnd"/>
    </w:p>
    <w:p w14:paraId="2441757F" w14:textId="12C24178" w:rsidR="007C35BE" w:rsidRPr="006F478A" w:rsidRDefault="009B337B" w:rsidP="006F478A">
      <w:pPr>
        <w:spacing w:after="0" w:line="240" w:lineRule="auto"/>
        <w:rPr>
          <w:rFonts w:ascii="Arial" w:eastAsia="Times New Roman" w:hAnsi="Arial" w:cs="Arial"/>
          <w:color w:val="000000" w:themeColor="text1"/>
          <w:szCs w:val="22"/>
          <w:lang w:val="en-US" w:eastAsia="nb-NO"/>
        </w:rPr>
      </w:pPr>
      <w:r w:rsidRPr="006F478A">
        <w:rPr>
          <w:rFonts w:ascii="Arial" w:eastAsia="Arial" w:hAnsi="Arial" w:cs="Arial"/>
          <w:color w:val="000000" w:themeColor="text1"/>
          <w:lang w:val="en-US"/>
        </w:rPr>
        <w:t xml:space="preserve">International </w:t>
      </w:r>
      <w:proofErr w:type="gramStart"/>
      <w:r w:rsidRPr="006F478A">
        <w:rPr>
          <w:rFonts w:ascii="Arial" w:eastAsia="Arial" w:hAnsi="Arial" w:cs="Arial"/>
          <w:color w:val="000000" w:themeColor="text1"/>
          <w:lang w:val="en-US"/>
        </w:rPr>
        <w:t xml:space="preserve">research, </w:t>
      </w:r>
      <w:r w:rsidR="0010477C" w:rsidRPr="006F478A">
        <w:rPr>
          <w:rFonts w:ascii="Arial" w:eastAsia="Arial" w:hAnsi="Arial" w:cs="Arial"/>
          <w:color w:val="000000" w:themeColor="text1"/>
          <w:lang w:val="en-US"/>
        </w:rPr>
        <w:t>in particular in re</w:t>
      </w:r>
      <w:r w:rsidRPr="006F478A">
        <w:rPr>
          <w:rFonts w:ascii="Arial" w:eastAsia="Arial" w:hAnsi="Arial" w:cs="Arial"/>
          <w:color w:val="000000" w:themeColor="text1"/>
          <w:lang w:val="en-US"/>
        </w:rPr>
        <w:t>source poor settings, have</w:t>
      </w:r>
      <w:proofErr w:type="gramEnd"/>
      <w:r w:rsidRPr="006F478A">
        <w:rPr>
          <w:rFonts w:ascii="Arial" w:eastAsia="Arial" w:hAnsi="Arial" w:cs="Arial"/>
          <w:color w:val="000000" w:themeColor="text1"/>
          <w:lang w:val="en-US"/>
        </w:rPr>
        <w:t xml:space="preserve"> </w:t>
      </w:r>
      <w:r w:rsidR="0010477C" w:rsidRPr="006F478A">
        <w:rPr>
          <w:rFonts w:ascii="Arial" w:eastAsia="Arial" w:hAnsi="Arial" w:cs="Arial"/>
          <w:color w:val="000000" w:themeColor="text1"/>
          <w:lang w:val="en-US"/>
        </w:rPr>
        <w:t xml:space="preserve">raised some of the most controversial debates in recent research ethics. There are issues of standard of care, and obligations to provide interventions at the end of the study. These were also at the heart of the controversy over recent revision of the Declaration of Helsinki. </w:t>
      </w:r>
      <w:r w:rsidRPr="006F478A">
        <w:rPr>
          <w:rFonts w:ascii="Arial" w:eastAsia="Arial" w:hAnsi="Arial" w:cs="Arial"/>
          <w:color w:val="000000" w:themeColor="text1"/>
          <w:lang w:val="en-US"/>
        </w:rPr>
        <w:t xml:space="preserve">The workshop will summarize some of these debates as well as suggest what </w:t>
      </w:r>
      <w:proofErr w:type="gramStart"/>
      <w:r w:rsidRPr="006F478A">
        <w:rPr>
          <w:rFonts w:ascii="Arial" w:eastAsia="Arial" w:hAnsi="Arial" w:cs="Arial"/>
          <w:color w:val="000000" w:themeColor="text1"/>
          <w:lang w:val="en-US"/>
        </w:rPr>
        <w:t>are the important unresolved issues</w:t>
      </w:r>
      <w:proofErr w:type="gramEnd"/>
    </w:p>
    <w:p w14:paraId="0F81FC60" w14:textId="77777777" w:rsidR="006F478A" w:rsidRDefault="006F478A" w:rsidP="006F478A">
      <w:pPr>
        <w:spacing w:after="0" w:line="240" w:lineRule="auto"/>
        <w:rPr>
          <w:rFonts w:ascii="Arial" w:eastAsia="Arial" w:hAnsi="Arial" w:cs="Arial"/>
          <w:b/>
          <w:bCs/>
          <w:color w:val="000000" w:themeColor="text1"/>
          <w:lang w:val="en-US"/>
        </w:rPr>
      </w:pPr>
    </w:p>
    <w:p w14:paraId="14325984" w14:textId="18FFA1C5" w:rsidR="000A5267" w:rsidRPr="006F478A" w:rsidRDefault="2DA2A848" w:rsidP="006F478A">
      <w:pPr>
        <w:spacing w:after="0" w:line="240" w:lineRule="auto"/>
        <w:rPr>
          <w:rFonts w:ascii="Arial" w:eastAsia="Times New Roman" w:hAnsi="Arial" w:cs="Arial"/>
          <w:b/>
          <w:color w:val="000000" w:themeColor="text1"/>
          <w:szCs w:val="22"/>
          <w:lang w:val="en-US" w:eastAsia="nb-NO"/>
        </w:rPr>
      </w:pPr>
      <w:r w:rsidRPr="006F478A">
        <w:rPr>
          <w:rFonts w:ascii="Arial" w:eastAsia="Arial" w:hAnsi="Arial" w:cs="Arial"/>
          <w:b/>
          <w:bCs/>
          <w:color w:val="000000" w:themeColor="text1"/>
          <w:lang w:val="en-US"/>
        </w:rPr>
        <w:t>Development of ethics competency in a clinical research setting</w:t>
      </w:r>
    </w:p>
    <w:p w14:paraId="26CDA6D8" w14:textId="08BBA20E" w:rsidR="00F4270C" w:rsidRPr="006F478A" w:rsidRDefault="2DA2A848" w:rsidP="006F478A">
      <w:pPr>
        <w:spacing w:after="0" w:line="240" w:lineRule="auto"/>
        <w:rPr>
          <w:rFonts w:ascii="Arial" w:eastAsia="Arial" w:hAnsi="Arial" w:cs="Arial"/>
          <w:color w:val="000000" w:themeColor="text1"/>
          <w:szCs w:val="22"/>
          <w:lang w:val="en-US"/>
        </w:rPr>
      </w:pPr>
      <w:r w:rsidRPr="006F478A">
        <w:rPr>
          <w:rFonts w:ascii="Arial" w:eastAsia="Arial" w:hAnsi="Arial" w:cs="Arial"/>
          <w:color w:val="000000" w:themeColor="text1"/>
          <w:lang w:val="en-US"/>
        </w:rPr>
        <w:t>Competence in research ethics is essential for leading clinical research centers. The workshop will discuss how different institutions have built ethics expertise, with examples from Norway, Singapore, US and Japan.</w:t>
      </w:r>
    </w:p>
    <w:p w14:paraId="520FC215" w14:textId="77777777" w:rsidR="00F4270C" w:rsidRPr="006F478A" w:rsidRDefault="00F4270C" w:rsidP="006F478A">
      <w:pPr>
        <w:spacing w:after="0" w:line="240" w:lineRule="auto"/>
        <w:rPr>
          <w:rFonts w:ascii="Arial" w:eastAsia="Arial" w:hAnsi="Arial" w:cs="Arial"/>
          <w:color w:val="000000" w:themeColor="text1"/>
          <w:szCs w:val="22"/>
          <w:lang w:val="en-US"/>
        </w:rPr>
      </w:pPr>
    </w:p>
    <w:p w14:paraId="165C48BD" w14:textId="1835F9C4" w:rsidR="0010477C" w:rsidRPr="006F478A" w:rsidRDefault="7BEF8272" w:rsidP="006F478A">
      <w:pPr>
        <w:spacing w:after="0" w:line="240" w:lineRule="auto"/>
        <w:rPr>
          <w:rFonts w:ascii="Arial" w:hAnsi="Arial" w:cs="Arial"/>
          <w:color w:val="000000" w:themeColor="text1"/>
          <w:szCs w:val="22"/>
          <w:lang w:val="en-US"/>
        </w:rPr>
      </w:pPr>
      <w:r w:rsidRPr="006F478A">
        <w:rPr>
          <w:rFonts w:ascii="Arial" w:eastAsia="Arial" w:hAnsi="Arial" w:cs="Arial"/>
          <w:color w:val="000000" w:themeColor="text1"/>
          <w:szCs w:val="22"/>
          <w:lang w:val="en-US"/>
        </w:rPr>
        <w:t>The workshop will feature the world’s leading experts in research ethics, from the Department of Bioethics, at the U</w:t>
      </w:r>
      <w:r w:rsidR="00F4270C" w:rsidRPr="006F478A">
        <w:rPr>
          <w:rFonts w:ascii="Arial" w:eastAsia="Arial" w:hAnsi="Arial" w:cs="Arial"/>
          <w:color w:val="000000" w:themeColor="text1"/>
          <w:szCs w:val="22"/>
          <w:lang w:val="en-US"/>
        </w:rPr>
        <w:t>S National Institutes of Health.</w:t>
      </w:r>
      <w:r w:rsidRPr="006F478A">
        <w:rPr>
          <w:rFonts w:ascii="Arial" w:eastAsia="Arial" w:hAnsi="Arial" w:cs="Arial"/>
          <w:color w:val="000000" w:themeColor="text1"/>
          <w:szCs w:val="22"/>
          <w:lang w:val="en-US"/>
        </w:rPr>
        <w:t xml:space="preserve"> It will enable participants to receive information about the latest developments in research ethics. It should be of interest to clinical researchers and those interested in research policy. </w:t>
      </w:r>
    </w:p>
    <w:p w14:paraId="2A1D63E6" w14:textId="2144A8E3" w:rsidR="006F478A" w:rsidRDefault="006F478A">
      <w:pPr>
        <w:rPr>
          <w:color w:val="000000" w:themeColor="text1"/>
          <w:szCs w:val="22"/>
          <w:lang w:val="en-US"/>
        </w:rPr>
      </w:pPr>
      <w:r>
        <w:rPr>
          <w:color w:val="000000" w:themeColor="text1"/>
          <w:szCs w:val="22"/>
          <w:lang w:val="en-US"/>
        </w:rPr>
        <w:br w:type="page"/>
      </w:r>
    </w:p>
    <w:p w14:paraId="620FCFF9" w14:textId="13AA768D" w:rsidR="003A4E4E" w:rsidRPr="006F478A" w:rsidRDefault="006F478A" w:rsidP="006F478A">
      <w:pPr>
        <w:spacing w:after="0" w:line="240" w:lineRule="auto"/>
        <w:rPr>
          <w:b/>
          <w:bCs/>
          <w:color w:val="000000" w:themeColor="text1"/>
          <w:szCs w:val="22"/>
          <w:lang w:val="en-US"/>
        </w:rPr>
      </w:pPr>
      <w:r w:rsidRPr="006F478A">
        <w:rPr>
          <w:b/>
          <w:bCs/>
          <w:color w:val="000000" w:themeColor="text1"/>
          <w:szCs w:val="22"/>
          <w:lang w:val="en-US"/>
        </w:rPr>
        <w:lastRenderedPageBreak/>
        <w:t>Agenda</w:t>
      </w:r>
    </w:p>
    <w:p w14:paraId="67A61AAA" w14:textId="0843566D" w:rsidR="001257A9" w:rsidRPr="000A5267" w:rsidRDefault="7BEF8272" w:rsidP="001257A9">
      <w:pPr>
        <w:spacing w:after="0" w:line="240" w:lineRule="auto"/>
        <w:rPr>
          <w:b/>
          <w:bCs/>
          <w:color w:val="000000" w:themeColor="text1"/>
          <w:szCs w:val="22"/>
          <w:lang w:val="en-US"/>
        </w:rPr>
      </w:pPr>
      <w:r w:rsidRPr="000A5267">
        <w:rPr>
          <w:rFonts w:eastAsia="Arial" w:cs="Arial"/>
          <w:b/>
          <w:bCs/>
          <w:color w:val="000000" w:themeColor="text1"/>
          <w:szCs w:val="22"/>
          <w:lang w:val="en-US"/>
        </w:rPr>
        <w:t>Thursday, June 18</w:t>
      </w:r>
    </w:p>
    <w:p w14:paraId="55B7A272" w14:textId="77777777" w:rsidR="001257A9" w:rsidRPr="000A5267" w:rsidRDefault="001257A9" w:rsidP="001257A9">
      <w:pPr>
        <w:spacing w:after="0" w:line="240" w:lineRule="auto"/>
        <w:rPr>
          <w:color w:val="000000" w:themeColor="text1"/>
          <w:szCs w:val="22"/>
          <w:lang w:val="en-US"/>
        </w:rPr>
      </w:pPr>
      <w:proofErr w:type="gramStart"/>
      <w:r w:rsidRPr="000A5267">
        <w:rPr>
          <w:rFonts w:eastAsia="Arial" w:cs="Arial"/>
          <w:color w:val="000000" w:themeColor="text1"/>
          <w:szCs w:val="22"/>
          <w:lang w:val="en-US"/>
        </w:rPr>
        <w:t>9:00</w:t>
      </w:r>
      <w:r w:rsidRPr="000A5267">
        <w:rPr>
          <w:color w:val="000000" w:themeColor="text1"/>
          <w:szCs w:val="22"/>
          <w:lang w:val="en-US"/>
        </w:rPr>
        <w:tab/>
      </w:r>
      <w:r w:rsidRPr="000A5267">
        <w:rPr>
          <w:rFonts w:eastAsia="Arial" w:cs="Arial"/>
          <w:color w:val="000000" w:themeColor="text1"/>
          <w:szCs w:val="22"/>
          <w:lang w:val="en-US"/>
        </w:rPr>
        <w:t>Reidar Lie.</w:t>
      </w:r>
      <w:proofErr w:type="gramEnd"/>
      <w:r w:rsidRPr="000A5267">
        <w:rPr>
          <w:rFonts w:eastAsia="Arial" w:cs="Arial"/>
          <w:color w:val="000000" w:themeColor="text1"/>
          <w:szCs w:val="22"/>
          <w:lang w:val="en-US"/>
        </w:rPr>
        <w:t xml:space="preserve"> Welcome and Introduction</w:t>
      </w:r>
    </w:p>
    <w:p w14:paraId="33BA6EDE" w14:textId="77777777" w:rsidR="001257A9" w:rsidRPr="000A5267" w:rsidRDefault="00326F6E" w:rsidP="001257A9">
      <w:pPr>
        <w:spacing w:after="0" w:line="240" w:lineRule="auto"/>
        <w:rPr>
          <w:b/>
          <w:bCs/>
          <w:color w:val="000000" w:themeColor="text1"/>
          <w:szCs w:val="22"/>
          <w:lang w:val="en-US"/>
        </w:rPr>
      </w:pPr>
      <w:r w:rsidRPr="000A5267">
        <w:rPr>
          <w:rFonts w:eastAsia="Arial" w:cs="Arial"/>
          <w:b/>
          <w:bCs/>
          <w:color w:val="000000" w:themeColor="text1"/>
          <w:szCs w:val="22"/>
          <w:lang w:val="en-US"/>
        </w:rPr>
        <w:t>9:</w:t>
      </w:r>
      <w:r w:rsidR="001257A9" w:rsidRPr="000A5267">
        <w:rPr>
          <w:rFonts w:eastAsia="Arial" w:cs="Arial"/>
          <w:b/>
          <w:bCs/>
          <w:color w:val="000000" w:themeColor="text1"/>
          <w:szCs w:val="22"/>
          <w:lang w:val="en-US"/>
        </w:rPr>
        <w:t>15</w:t>
      </w:r>
      <w:r w:rsidR="001257A9" w:rsidRPr="000A5267">
        <w:rPr>
          <w:b/>
          <w:bCs/>
          <w:color w:val="000000" w:themeColor="text1"/>
          <w:szCs w:val="22"/>
          <w:lang w:val="en-US"/>
        </w:rPr>
        <w:tab/>
      </w:r>
      <w:r w:rsidR="001257A9" w:rsidRPr="000A5267">
        <w:rPr>
          <w:rFonts w:eastAsia="Arial" w:cs="Arial"/>
          <w:b/>
          <w:bCs/>
          <w:color w:val="000000" w:themeColor="text1"/>
          <w:szCs w:val="22"/>
          <w:lang w:val="en-US"/>
        </w:rPr>
        <w:t>Risk/benefit assessments in clinical research</w:t>
      </w:r>
    </w:p>
    <w:p w14:paraId="59C16203" w14:textId="77777777" w:rsidR="001257A9" w:rsidRPr="000A5267" w:rsidRDefault="00326F6E" w:rsidP="001257A9">
      <w:pPr>
        <w:spacing w:after="0" w:line="240" w:lineRule="auto"/>
        <w:rPr>
          <w:color w:val="000000" w:themeColor="text1"/>
          <w:szCs w:val="22"/>
          <w:lang w:val="en-US"/>
        </w:rPr>
      </w:pPr>
      <w:proofErr w:type="gramStart"/>
      <w:r w:rsidRPr="000A5267">
        <w:rPr>
          <w:rFonts w:eastAsia="Arial" w:cs="Arial"/>
          <w:color w:val="000000" w:themeColor="text1"/>
          <w:szCs w:val="22"/>
          <w:lang w:val="en-US"/>
        </w:rPr>
        <w:t>9:</w:t>
      </w:r>
      <w:r w:rsidR="001257A9" w:rsidRPr="000A5267">
        <w:rPr>
          <w:rFonts w:eastAsia="Arial" w:cs="Arial"/>
          <w:color w:val="000000" w:themeColor="text1"/>
          <w:szCs w:val="22"/>
          <w:lang w:val="en-US"/>
        </w:rPr>
        <w:t>15</w:t>
      </w:r>
      <w:r w:rsidR="001257A9" w:rsidRPr="000A5267">
        <w:rPr>
          <w:color w:val="000000" w:themeColor="text1"/>
          <w:szCs w:val="22"/>
          <w:lang w:val="en-US"/>
        </w:rPr>
        <w:tab/>
      </w:r>
      <w:r w:rsidR="001257A9" w:rsidRPr="000A5267">
        <w:rPr>
          <w:rFonts w:eastAsia="Arial" w:cs="Arial"/>
          <w:color w:val="000000" w:themeColor="text1"/>
          <w:szCs w:val="22"/>
          <w:lang w:val="en-US"/>
        </w:rPr>
        <w:t>Reidar Lie.</w:t>
      </w:r>
      <w:proofErr w:type="gramEnd"/>
      <w:r w:rsidR="001257A9" w:rsidRPr="000A5267">
        <w:rPr>
          <w:rFonts w:eastAsia="Arial" w:cs="Arial"/>
          <w:color w:val="000000" w:themeColor="text1"/>
          <w:szCs w:val="22"/>
          <w:lang w:val="en-US"/>
        </w:rPr>
        <w:t xml:space="preserve"> </w:t>
      </w:r>
      <w:proofErr w:type="gramStart"/>
      <w:r w:rsidR="001257A9" w:rsidRPr="000A5267">
        <w:rPr>
          <w:rFonts w:eastAsia="Arial" w:cs="Arial"/>
          <w:color w:val="000000" w:themeColor="text1"/>
          <w:szCs w:val="22"/>
          <w:lang w:val="en-US"/>
        </w:rPr>
        <w:t>Risk benefit</w:t>
      </w:r>
      <w:proofErr w:type="gramEnd"/>
      <w:r w:rsidR="001257A9" w:rsidRPr="000A5267">
        <w:rPr>
          <w:rFonts w:eastAsia="Arial" w:cs="Arial"/>
          <w:color w:val="000000" w:themeColor="text1"/>
          <w:szCs w:val="22"/>
          <w:lang w:val="en-US"/>
        </w:rPr>
        <w:t xml:space="preserve"> assessments. Norwegian and International Regulations</w:t>
      </w:r>
    </w:p>
    <w:p w14:paraId="5CCF7218" w14:textId="77777777" w:rsidR="001257A9" w:rsidRPr="000A5267" w:rsidRDefault="00326F6E" w:rsidP="001257A9">
      <w:pPr>
        <w:spacing w:after="0" w:line="240" w:lineRule="auto"/>
        <w:rPr>
          <w:color w:val="000000" w:themeColor="text1"/>
          <w:szCs w:val="22"/>
          <w:lang w:val="en-US"/>
        </w:rPr>
      </w:pPr>
      <w:r w:rsidRPr="000A5267">
        <w:rPr>
          <w:rFonts w:eastAsia="Arial" w:cs="Arial"/>
          <w:color w:val="000000" w:themeColor="text1"/>
          <w:szCs w:val="22"/>
          <w:lang w:val="en-US"/>
        </w:rPr>
        <w:t>9:</w:t>
      </w:r>
      <w:r w:rsidR="001257A9" w:rsidRPr="000A5267">
        <w:rPr>
          <w:rFonts w:eastAsia="Arial" w:cs="Arial"/>
          <w:color w:val="000000" w:themeColor="text1"/>
          <w:szCs w:val="22"/>
          <w:lang w:val="en-US"/>
        </w:rPr>
        <w:t>45</w:t>
      </w:r>
      <w:r w:rsidR="001257A9" w:rsidRPr="000A5267">
        <w:rPr>
          <w:color w:val="000000" w:themeColor="text1"/>
          <w:szCs w:val="22"/>
          <w:lang w:val="en-US"/>
        </w:rPr>
        <w:tab/>
      </w:r>
      <w:r w:rsidR="001257A9" w:rsidRPr="000A5267">
        <w:rPr>
          <w:rFonts w:eastAsia="Arial" w:cs="Arial"/>
          <w:color w:val="000000" w:themeColor="text1"/>
          <w:szCs w:val="22"/>
          <w:lang w:val="en-US"/>
        </w:rPr>
        <w:t>Questions and Discussion</w:t>
      </w:r>
    </w:p>
    <w:p w14:paraId="46D5C969" w14:textId="77777777" w:rsidR="001257A9" w:rsidRPr="000A5267" w:rsidRDefault="00326F6E" w:rsidP="001257A9">
      <w:pPr>
        <w:spacing w:after="0" w:line="240" w:lineRule="auto"/>
        <w:rPr>
          <w:color w:val="000000" w:themeColor="text1"/>
          <w:szCs w:val="22"/>
          <w:lang w:val="en-US"/>
        </w:rPr>
      </w:pPr>
      <w:proofErr w:type="gramStart"/>
      <w:r w:rsidRPr="000A5267">
        <w:rPr>
          <w:rFonts w:eastAsia="Arial" w:cs="Arial"/>
          <w:color w:val="000000" w:themeColor="text1"/>
          <w:szCs w:val="22"/>
          <w:lang w:val="en-US"/>
        </w:rPr>
        <w:t>10:</w:t>
      </w:r>
      <w:r w:rsidR="001257A9" w:rsidRPr="000A5267">
        <w:rPr>
          <w:rFonts w:eastAsia="Arial" w:cs="Arial"/>
          <w:color w:val="000000" w:themeColor="text1"/>
          <w:szCs w:val="22"/>
          <w:lang w:val="en-US"/>
        </w:rPr>
        <w:t>00</w:t>
      </w:r>
      <w:r w:rsidR="001257A9" w:rsidRPr="000A5267">
        <w:rPr>
          <w:color w:val="000000" w:themeColor="text1"/>
          <w:szCs w:val="22"/>
          <w:lang w:val="en-US"/>
        </w:rPr>
        <w:tab/>
      </w:r>
      <w:r w:rsidR="001257A9" w:rsidRPr="000A5267">
        <w:rPr>
          <w:rFonts w:eastAsia="Arial" w:cs="Arial"/>
          <w:color w:val="000000" w:themeColor="text1"/>
          <w:szCs w:val="22"/>
          <w:lang w:val="en-US"/>
        </w:rPr>
        <w:t xml:space="preserve">David </w:t>
      </w:r>
      <w:proofErr w:type="spellStart"/>
      <w:r w:rsidR="001257A9" w:rsidRPr="000A5267">
        <w:rPr>
          <w:rFonts w:eastAsia="Arial" w:cs="Arial"/>
          <w:color w:val="000000" w:themeColor="text1"/>
          <w:szCs w:val="22"/>
          <w:lang w:val="en-US"/>
        </w:rPr>
        <w:t>Wendler</w:t>
      </w:r>
      <w:proofErr w:type="spellEnd"/>
      <w:r w:rsidRPr="000A5267">
        <w:rPr>
          <w:rFonts w:eastAsia="Arial" w:cs="Arial"/>
          <w:color w:val="000000" w:themeColor="text1"/>
          <w:szCs w:val="22"/>
          <w:lang w:val="en-US"/>
        </w:rPr>
        <w:t>.</w:t>
      </w:r>
      <w:proofErr w:type="gramEnd"/>
      <w:r w:rsidRPr="000A5267">
        <w:rPr>
          <w:rFonts w:eastAsia="Arial" w:cs="Arial"/>
          <w:color w:val="000000" w:themeColor="text1"/>
          <w:szCs w:val="22"/>
          <w:lang w:val="en-US"/>
        </w:rPr>
        <w:t xml:space="preserve"> </w:t>
      </w:r>
      <w:proofErr w:type="gramStart"/>
      <w:r w:rsidRPr="000A5267">
        <w:rPr>
          <w:rFonts w:eastAsia="Arial" w:cs="Arial"/>
          <w:color w:val="000000" w:themeColor="text1"/>
          <w:szCs w:val="22"/>
          <w:lang w:val="en-US"/>
        </w:rPr>
        <w:t>Risk benefit</w:t>
      </w:r>
      <w:proofErr w:type="gramEnd"/>
      <w:r w:rsidRPr="000A5267">
        <w:rPr>
          <w:rFonts w:eastAsia="Arial" w:cs="Arial"/>
          <w:color w:val="000000" w:themeColor="text1"/>
          <w:szCs w:val="22"/>
          <w:lang w:val="en-US"/>
        </w:rPr>
        <w:t xml:space="preserve"> judgments in clinical research. </w:t>
      </w:r>
      <w:proofErr w:type="gramStart"/>
      <w:r w:rsidRPr="000A5267">
        <w:rPr>
          <w:rFonts w:eastAsia="Arial" w:cs="Arial"/>
          <w:color w:val="000000" w:themeColor="text1"/>
          <w:szCs w:val="22"/>
          <w:lang w:val="en-US"/>
        </w:rPr>
        <w:t>Components analysis.</w:t>
      </w:r>
      <w:proofErr w:type="gramEnd"/>
      <w:r w:rsidRPr="000A5267">
        <w:rPr>
          <w:rFonts w:eastAsia="Arial" w:cs="Arial"/>
          <w:color w:val="000000" w:themeColor="text1"/>
          <w:szCs w:val="22"/>
          <w:lang w:val="en-US"/>
        </w:rPr>
        <w:t xml:space="preserve"> Net risk test</w:t>
      </w:r>
    </w:p>
    <w:p w14:paraId="3FF460DE" w14:textId="77777777" w:rsidR="00326F6E" w:rsidRPr="000A5267" w:rsidRDefault="00326F6E" w:rsidP="001257A9">
      <w:pPr>
        <w:spacing w:after="0" w:line="240" w:lineRule="auto"/>
        <w:rPr>
          <w:color w:val="000000" w:themeColor="text1"/>
          <w:szCs w:val="22"/>
          <w:lang w:val="en-US"/>
        </w:rPr>
      </w:pPr>
      <w:r w:rsidRPr="000A5267">
        <w:rPr>
          <w:rFonts w:eastAsia="Arial" w:cs="Arial"/>
          <w:color w:val="000000" w:themeColor="text1"/>
          <w:szCs w:val="22"/>
          <w:lang w:val="en-US"/>
        </w:rPr>
        <w:t>11:00</w:t>
      </w:r>
      <w:r w:rsidRPr="000A5267">
        <w:rPr>
          <w:color w:val="000000" w:themeColor="text1"/>
          <w:szCs w:val="22"/>
          <w:lang w:val="en-US"/>
        </w:rPr>
        <w:tab/>
      </w:r>
      <w:r w:rsidRPr="000A5267">
        <w:rPr>
          <w:rFonts w:eastAsia="Arial" w:cs="Arial"/>
          <w:color w:val="000000" w:themeColor="text1"/>
          <w:szCs w:val="22"/>
          <w:lang w:val="en-US"/>
        </w:rPr>
        <w:t>Coffee</w:t>
      </w:r>
    </w:p>
    <w:p w14:paraId="06A31CD9" w14:textId="77777777" w:rsidR="00326F6E" w:rsidRPr="000A5267" w:rsidRDefault="00326F6E" w:rsidP="001257A9">
      <w:pPr>
        <w:spacing w:after="0" w:line="240" w:lineRule="auto"/>
        <w:rPr>
          <w:color w:val="000000" w:themeColor="text1"/>
          <w:szCs w:val="22"/>
          <w:lang w:val="en-US"/>
        </w:rPr>
      </w:pPr>
      <w:r w:rsidRPr="000A5267">
        <w:rPr>
          <w:rFonts w:eastAsia="Arial" w:cs="Arial"/>
          <w:color w:val="000000" w:themeColor="text1"/>
          <w:szCs w:val="22"/>
          <w:lang w:val="en-US"/>
        </w:rPr>
        <w:t>11:30</w:t>
      </w:r>
      <w:r w:rsidRPr="000A5267">
        <w:rPr>
          <w:color w:val="000000" w:themeColor="text1"/>
          <w:szCs w:val="22"/>
          <w:lang w:val="en-US"/>
        </w:rPr>
        <w:tab/>
      </w:r>
      <w:r w:rsidRPr="000A5267">
        <w:rPr>
          <w:rFonts w:eastAsia="Arial" w:cs="Arial"/>
          <w:color w:val="000000" w:themeColor="text1"/>
          <w:szCs w:val="22"/>
          <w:lang w:val="en-US"/>
        </w:rPr>
        <w:t>Discussion</w:t>
      </w:r>
    </w:p>
    <w:p w14:paraId="47D79C7D" w14:textId="77777777" w:rsidR="00326F6E" w:rsidRPr="000A5267" w:rsidRDefault="00326F6E" w:rsidP="001257A9">
      <w:pPr>
        <w:spacing w:after="0" w:line="240" w:lineRule="auto"/>
        <w:rPr>
          <w:color w:val="000000" w:themeColor="text1"/>
          <w:szCs w:val="22"/>
          <w:lang w:val="en-US"/>
        </w:rPr>
      </w:pPr>
      <w:r w:rsidRPr="000A5267">
        <w:rPr>
          <w:rFonts w:eastAsia="Arial" w:cs="Arial"/>
          <w:color w:val="000000" w:themeColor="text1"/>
          <w:szCs w:val="22"/>
          <w:lang w:val="en-US"/>
        </w:rPr>
        <w:t>12:30</w:t>
      </w:r>
      <w:r w:rsidRPr="000A5267">
        <w:rPr>
          <w:color w:val="000000" w:themeColor="text1"/>
          <w:szCs w:val="22"/>
          <w:lang w:val="en-US"/>
        </w:rPr>
        <w:tab/>
      </w:r>
      <w:r w:rsidRPr="000A5267">
        <w:rPr>
          <w:rFonts w:eastAsia="Arial" w:cs="Arial"/>
          <w:color w:val="000000" w:themeColor="text1"/>
          <w:szCs w:val="22"/>
          <w:lang w:val="en-US"/>
        </w:rPr>
        <w:t>Lunch</w:t>
      </w:r>
    </w:p>
    <w:p w14:paraId="2564BABD" w14:textId="77777777" w:rsidR="00326F6E" w:rsidRPr="000A5267" w:rsidRDefault="00326F6E" w:rsidP="006F478A">
      <w:pPr>
        <w:spacing w:after="0" w:line="240" w:lineRule="auto"/>
        <w:ind w:left="705" w:hanging="705"/>
        <w:rPr>
          <w:color w:val="000000" w:themeColor="text1"/>
          <w:szCs w:val="22"/>
          <w:lang w:val="en-US"/>
        </w:rPr>
      </w:pPr>
      <w:proofErr w:type="gramStart"/>
      <w:r w:rsidRPr="000A5267">
        <w:rPr>
          <w:rFonts w:eastAsia="Arial" w:cs="Arial"/>
          <w:color w:val="000000" w:themeColor="text1"/>
          <w:szCs w:val="22"/>
          <w:lang w:val="en-US"/>
        </w:rPr>
        <w:t>13:30</w:t>
      </w:r>
      <w:r w:rsidRPr="000A5267">
        <w:rPr>
          <w:color w:val="000000" w:themeColor="text1"/>
          <w:szCs w:val="22"/>
          <w:lang w:val="en-US"/>
        </w:rPr>
        <w:tab/>
      </w:r>
      <w:r w:rsidRPr="000A5267">
        <w:rPr>
          <w:rFonts w:eastAsia="Arial" w:cs="Arial"/>
          <w:color w:val="000000" w:themeColor="text1"/>
          <w:szCs w:val="22"/>
          <w:lang w:val="en-US"/>
        </w:rPr>
        <w:t>Reidar Lie.</w:t>
      </w:r>
      <w:proofErr w:type="gramEnd"/>
      <w:r w:rsidRPr="000A5267">
        <w:rPr>
          <w:rFonts w:eastAsia="Arial" w:cs="Arial"/>
          <w:color w:val="000000" w:themeColor="text1"/>
          <w:szCs w:val="22"/>
          <w:lang w:val="en-US"/>
        </w:rPr>
        <w:t xml:space="preserve"> </w:t>
      </w:r>
      <w:proofErr w:type="gramStart"/>
      <w:r w:rsidRPr="000A5267">
        <w:rPr>
          <w:rFonts w:eastAsia="Arial" w:cs="Arial"/>
          <w:color w:val="000000" w:themeColor="text1"/>
          <w:szCs w:val="22"/>
          <w:lang w:val="en-US"/>
        </w:rPr>
        <w:t>The SUPPORT trial.</w:t>
      </w:r>
      <w:proofErr w:type="gramEnd"/>
      <w:r w:rsidRPr="000A5267">
        <w:rPr>
          <w:rFonts w:eastAsia="Arial" w:cs="Arial"/>
          <w:color w:val="000000" w:themeColor="text1"/>
          <w:szCs w:val="22"/>
          <w:lang w:val="en-US"/>
        </w:rPr>
        <w:t xml:space="preserve"> </w:t>
      </w:r>
      <w:proofErr w:type="gramStart"/>
      <w:r w:rsidRPr="000A5267">
        <w:rPr>
          <w:rFonts w:eastAsia="Arial" w:cs="Arial"/>
          <w:color w:val="000000" w:themeColor="text1"/>
          <w:szCs w:val="22"/>
          <w:lang w:val="en-US"/>
        </w:rPr>
        <w:t>OHRPs proposal for comparative effectiveness studies.</w:t>
      </w:r>
      <w:proofErr w:type="gramEnd"/>
      <w:r w:rsidRPr="000A5267">
        <w:rPr>
          <w:rFonts w:eastAsia="Arial" w:cs="Arial"/>
          <w:color w:val="000000" w:themeColor="text1"/>
          <w:szCs w:val="22"/>
          <w:lang w:val="en-US"/>
        </w:rPr>
        <w:t xml:space="preserve"> Brief introduction to controversy</w:t>
      </w:r>
    </w:p>
    <w:p w14:paraId="743B4925" w14:textId="77777777" w:rsidR="00326F6E" w:rsidRPr="000A5267" w:rsidRDefault="00326F6E" w:rsidP="00E817CE">
      <w:pPr>
        <w:spacing w:after="0" w:line="240" w:lineRule="auto"/>
        <w:rPr>
          <w:color w:val="000000" w:themeColor="text1"/>
          <w:szCs w:val="22"/>
          <w:lang w:val="en-US"/>
        </w:rPr>
      </w:pPr>
      <w:proofErr w:type="gramStart"/>
      <w:r w:rsidRPr="000A5267">
        <w:rPr>
          <w:rFonts w:eastAsia="Arial" w:cs="Arial"/>
          <w:color w:val="000000" w:themeColor="text1"/>
          <w:szCs w:val="22"/>
          <w:lang w:val="en-US"/>
        </w:rPr>
        <w:t>13:45</w:t>
      </w:r>
      <w:r w:rsidRPr="000A5267">
        <w:rPr>
          <w:color w:val="000000" w:themeColor="text1"/>
          <w:szCs w:val="22"/>
          <w:lang w:val="en-US"/>
        </w:rPr>
        <w:tab/>
      </w:r>
      <w:r w:rsidRPr="000A5267">
        <w:rPr>
          <w:rFonts w:eastAsia="Arial" w:cs="Arial"/>
          <w:color w:val="000000" w:themeColor="text1"/>
          <w:szCs w:val="22"/>
          <w:lang w:val="en-US"/>
        </w:rPr>
        <w:t>Christine Grady.</w:t>
      </w:r>
      <w:proofErr w:type="gramEnd"/>
      <w:r w:rsidRPr="000A5267">
        <w:rPr>
          <w:rFonts w:eastAsia="Arial" w:cs="Arial"/>
          <w:color w:val="000000" w:themeColor="text1"/>
          <w:szCs w:val="22"/>
          <w:lang w:val="en-US"/>
        </w:rPr>
        <w:t xml:space="preserve"> Risk judgments and comparative effectiveness studies</w:t>
      </w:r>
    </w:p>
    <w:p w14:paraId="30FAD76F" w14:textId="77777777" w:rsidR="00326F6E" w:rsidRPr="000A5267" w:rsidRDefault="00326F6E" w:rsidP="00E817CE">
      <w:pPr>
        <w:spacing w:after="0" w:line="240" w:lineRule="auto"/>
        <w:rPr>
          <w:color w:val="000000" w:themeColor="text1"/>
          <w:szCs w:val="22"/>
          <w:lang w:val="en-US"/>
        </w:rPr>
      </w:pPr>
      <w:r w:rsidRPr="000A5267">
        <w:rPr>
          <w:rFonts w:eastAsia="Arial" w:cs="Arial"/>
          <w:color w:val="000000" w:themeColor="text1"/>
          <w:szCs w:val="22"/>
          <w:lang w:val="en-US"/>
        </w:rPr>
        <w:t>14:45</w:t>
      </w:r>
      <w:r w:rsidRPr="000A5267">
        <w:rPr>
          <w:color w:val="000000" w:themeColor="text1"/>
          <w:szCs w:val="22"/>
          <w:lang w:val="en-US"/>
        </w:rPr>
        <w:tab/>
      </w:r>
      <w:r w:rsidRPr="000A5267">
        <w:rPr>
          <w:rFonts w:eastAsia="Arial" w:cs="Arial"/>
          <w:color w:val="000000" w:themeColor="text1"/>
          <w:szCs w:val="22"/>
          <w:lang w:val="en-US"/>
        </w:rPr>
        <w:t>Discussion</w:t>
      </w:r>
    </w:p>
    <w:p w14:paraId="2D7FC153" w14:textId="77777777" w:rsidR="00326F6E" w:rsidRPr="000A5267" w:rsidRDefault="00326F6E" w:rsidP="00E817CE">
      <w:pPr>
        <w:spacing w:after="0" w:line="240" w:lineRule="auto"/>
        <w:rPr>
          <w:color w:val="000000" w:themeColor="text1"/>
          <w:szCs w:val="22"/>
          <w:lang w:val="en-US"/>
        </w:rPr>
      </w:pPr>
      <w:r w:rsidRPr="000A5267">
        <w:rPr>
          <w:rFonts w:eastAsia="Arial" w:cs="Arial"/>
          <w:color w:val="000000" w:themeColor="text1"/>
          <w:szCs w:val="22"/>
          <w:lang w:val="en-US"/>
        </w:rPr>
        <w:t>15:15</w:t>
      </w:r>
      <w:r w:rsidRPr="000A5267">
        <w:rPr>
          <w:color w:val="000000" w:themeColor="text1"/>
          <w:szCs w:val="22"/>
          <w:lang w:val="en-US"/>
        </w:rPr>
        <w:tab/>
      </w:r>
      <w:r w:rsidRPr="000A5267">
        <w:rPr>
          <w:rFonts w:eastAsia="Arial" w:cs="Arial"/>
          <w:color w:val="000000" w:themeColor="text1"/>
          <w:szCs w:val="22"/>
          <w:lang w:val="en-US"/>
        </w:rPr>
        <w:t>Break</w:t>
      </w:r>
    </w:p>
    <w:p w14:paraId="5DF4B722" w14:textId="77777777" w:rsidR="00326F6E" w:rsidRPr="000A5267" w:rsidRDefault="00326F6E" w:rsidP="00E817CE">
      <w:pPr>
        <w:spacing w:after="0" w:line="240" w:lineRule="auto"/>
        <w:rPr>
          <w:color w:val="000000" w:themeColor="text1"/>
          <w:szCs w:val="22"/>
          <w:lang w:val="en-US"/>
        </w:rPr>
      </w:pPr>
      <w:proofErr w:type="gramStart"/>
      <w:r w:rsidRPr="000A5267">
        <w:rPr>
          <w:rFonts w:eastAsia="Arial" w:cs="Arial"/>
          <w:color w:val="000000" w:themeColor="text1"/>
          <w:szCs w:val="22"/>
          <w:lang w:val="en-US"/>
        </w:rPr>
        <w:t>15:45</w:t>
      </w:r>
      <w:r w:rsidRPr="000A5267">
        <w:rPr>
          <w:color w:val="000000" w:themeColor="text1"/>
          <w:szCs w:val="22"/>
          <w:lang w:val="en-US"/>
        </w:rPr>
        <w:tab/>
      </w:r>
      <w:r w:rsidRPr="000A5267">
        <w:rPr>
          <w:rFonts w:eastAsia="Arial" w:cs="Arial"/>
          <w:color w:val="000000" w:themeColor="text1"/>
          <w:szCs w:val="22"/>
          <w:lang w:val="en-US"/>
        </w:rPr>
        <w:t>Alan Wertheimer</w:t>
      </w:r>
      <w:r w:rsidR="00B8425F" w:rsidRPr="000A5267">
        <w:rPr>
          <w:rFonts w:eastAsia="Arial" w:cs="Arial"/>
          <w:color w:val="000000" w:themeColor="text1"/>
          <w:szCs w:val="22"/>
          <w:lang w:val="en-US"/>
        </w:rPr>
        <w:t>.</w:t>
      </w:r>
      <w:proofErr w:type="gramEnd"/>
      <w:r w:rsidR="00B8425F" w:rsidRPr="000A5267">
        <w:rPr>
          <w:rFonts w:eastAsia="Arial" w:cs="Arial"/>
          <w:color w:val="000000" w:themeColor="text1"/>
          <w:szCs w:val="22"/>
          <w:lang w:val="en-US"/>
        </w:rPr>
        <w:t xml:space="preserve"> Rethinking informed consent</w:t>
      </w:r>
    </w:p>
    <w:p w14:paraId="5F6A1868" w14:textId="77777777" w:rsidR="0010477C" w:rsidRPr="000A5267" w:rsidRDefault="0010477C" w:rsidP="00E817CE">
      <w:pPr>
        <w:spacing w:after="0" w:line="240" w:lineRule="auto"/>
        <w:rPr>
          <w:color w:val="000000" w:themeColor="text1"/>
          <w:szCs w:val="22"/>
          <w:lang w:val="en-US"/>
        </w:rPr>
      </w:pPr>
      <w:r w:rsidRPr="000A5267">
        <w:rPr>
          <w:rFonts w:eastAsia="Arial" w:cs="Arial"/>
          <w:color w:val="000000" w:themeColor="text1"/>
          <w:szCs w:val="22"/>
          <w:lang w:val="en-US"/>
        </w:rPr>
        <w:t>16:30</w:t>
      </w:r>
      <w:r w:rsidRPr="000A5267">
        <w:rPr>
          <w:color w:val="000000" w:themeColor="text1"/>
          <w:szCs w:val="22"/>
          <w:lang w:val="en-US"/>
        </w:rPr>
        <w:tab/>
      </w:r>
      <w:r w:rsidRPr="000A5267">
        <w:rPr>
          <w:rFonts w:eastAsia="Arial" w:cs="Arial"/>
          <w:color w:val="000000" w:themeColor="text1"/>
          <w:szCs w:val="22"/>
          <w:lang w:val="en-US"/>
        </w:rPr>
        <w:t>Discussion</w:t>
      </w:r>
    </w:p>
    <w:p w14:paraId="518FB3ED" w14:textId="77777777" w:rsidR="0010477C" w:rsidRPr="000A5267" w:rsidRDefault="0010477C" w:rsidP="00E817CE">
      <w:pPr>
        <w:spacing w:after="0" w:line="240" w:lineRule="auto"/>
        <w:rPr>
          <w:color w:val="000000" w:themeColor="text1"/>
          <w:szCs w:val="22"/>
          <w:lang w:val="en-US"/>
        </w:rPr>
      </w:pPr>
      <w:r w:rsidRPr="000A5267">
        <w:rPr>
          <w:rFonts w:eastAsia="Arial" w:cs="Arial"/>
          <w:color w:val="000000" w:themeColor="text1"/>
          <w:szCs w:val="22"/>
          <w:lang w:val="en-US"/>
        </w:rPr>
        <w:t>17:00</w:t>
      </w:r>
      <w:r w:rsidRPr="000A5267">
        <w:rPr>
          <w:color w:val="000000" w:themeColor="text1"/>
          <w:szCs w:val="22"/>
          <w:lang w:val="en-US"/>
        </w:rPr>
        <w:tab/>
      </w:r>
      <w:r w:rsidRPr="000A5267">
        <w:rPr>
          <w:rFonts w:eastAsia="Arial" w:cs="Arial"/>
          <w:color w:val="000000" w:themeColor="text1"/>
          <w:szCs w:val="22"/>
          <w:lang w:val="en-US"/>
        </w:rPr>
        <w:t>End of day one</w:t>
      </w:r>
    </w:p>
    <w:p w14:paraId="1A4EE837" w14:textId="77777777" w:rsidR="0010477C" w:rsidRPr="000A5267" w:rsidRDefault="0010477C" w:rsidP="00326F6E">
      <w:pPr>
        <w:spacing w:after="0" w:line="240" w:lineRule="auto"/>
        <w:ind w:left="708" w:hanging="708"/>
        <w:rPr>
          <w:color w:val="000000" w:themeColor="text1"/>
          <w:szCs w:val="22"/>
          <w:lang w:val="en-US"/>
        </w:rPr>
      </w:pPr>
    </w:p>
    <w:p w14:paraId="63F790BA" w14:textId="77777777" w:rsidR="00326F6E" w:rsidRPr="000A5267" w:rsidRDefault="00326F6E" w:rsidP="00326F6E">
      <w:pPr>
        <w:spacing w:after="0" w:line="240" w:lineRule="auto"/>
        <w:ind w:left="708" w:hanging="708"/>
        <w:rPr>
          <w:color w:val="000000" w:themeColor="text1"/>
          <w:szCs w:val="22"/>
          <w:lang w:val="en-US"/>
        </w:rPr>
      </w:pPr>
    </w:p>
    <w:p w14:paraId="5B5C849E" w14:textId="4902B6FE" w:rsidR="00326F6E" w:rsidRPr="000A5267" w:rsidRDefault="7BEF8272" w:rsidP="00E817CE">
      <w:pPr>
        <w:spacing w:after="0" w:line="240" w:lineRule="auto"/>
        <w:rPr>
          <w:b/>
          <w:bCs/>
          <w:color w:val="000000" w:themeColor="text1"/>
          <w:szCs w:val="22"/>
          <w:lang w:val="en-US"/>
        </w:rPr>
      </w:pPr>
      <w:r w:rsidRPr="000A5267">
        <w:rPr>
          <w:rFonts w:eastAsia="Arial" w:cs="Arial"/>
          <w:b/>
          <w:bCs/>
          <w:color w:val="000000" w:themeColor="text1"/>
          <w:szCs w:val="22"/>
          <w:lang w:val="en-US"/>
        </w:rPr>
        <w:t>Friday, June 19</w:t>
      </w:r>
    </w:p>
    <w:p w14:paraId="4A01FBE6" w14:textId="77777777" w:rsidR="00326F6E" w:rsidRPr="000A5267" w:rsidRDefault="00326F6E" w:rsidP="00E817CE">
      <w:pPr>
        <w:spacing w:after="0" w:line="240" w:lineRule="auto"/>
        <w:rPr>
          <w:color w:val="000000" w:themeColor="text1"/>
          <w:szCs w:val="22"/>
          <w:lang w:val="en-US"/>
        </w:rPr>
      </w:pPr>
      <w:r w:rsidRPr="000A5267">
        <w:rPr>
          <w:rFonts w:eastAsia="Arial" w:cs="Arial"/>
          <w:color w:val="000000" w:themeColor="text1"/>
          <w:szCs w:val="22"/>
          <w:lang w:val="en-US"/>
        </w:rPr>
        <w:t>9:00</w:t>
      </w:r>
      <w:r w:rsidRPr="000A5267">
        <w:rPr>
          <w:color w:val="000000" w:themeColor="text1"/>
          <w:szCs w:val="22"/>
          <w:lang w:val="en-US"/>
        </w:rPr>
        <w:tab/>
      </w:r>
      <w:r w:rsidRPr="000A5267">
        <w:rPr>
          <w:rFonts w:eastAsia="Arial" w:cs="Arial"/>
          <w:b/>
          <w:bCs/>
          <w:color w:val="000000" w:themeColor="text1"/>
          <w:szCs w:val="22"/>
          <w:lang w:val="en-US"/>
        </w:rPr>
        <w:t>Ethics of international collaborative research</w:t>
      </w:r>
    </w:p>
    <w:p w14:paraId="7622732A" w14:textId="292945C7" w:rsidR="00CD5512" w:rsidRPr="000A5267" w:rsidRDefault="00E817CE" w:rsidP="7BEF8272">
      <w:pPr>
        <w:tabs>
          <w:tab w:val="left" w:pos="708"/>
          <w:tab w:val="left" w:pos="1416"/>
          <w:tab w:val="left" w:pos="2124"/>
          <w:tab w:val="left" w:pos="2832"/>
          <w:tab w:val="left" w:pos="3314"/>
        </w:tabs>
        <w:spacing w:after="0" w:line="240" w:lineRule="auto"/>
        <w:ind w:hanging="708"/>
        <w:rPr>
          <w:color w:val="000000" w:themeColor="text1"/>
          <w:szCs w:val="22"/>
          <w:lang w:val="en-US"/>
        </w:rPr>
      </w:pPr>
      <w:r w:rsidRPr="000A5267">
        <w:rPr>
          <w:rFonts w:eastAsia="Arial" w:cs="Arial"/>
          <w:color w:val="000000" w:themeColor="text1"/>
          <w:szCs w:val="22"/>
          <w:lang w:val="en-US"/>
        </w:rPr>
        <w:tab/>
      </w:r>
      <w:proofErr w:type="gramStart"/>
      <w:r w:rsidR="00CD5512" w:rsidRPr="000A5267">
        <w:rPr>
          <w:rFonts w:eastAsia="Arial" w:cs="Arial"/>
          <w:color w:val="000000" w:themeColor="text1"/>
          <w:szCs w:val="22"/>
          <w:lang w:val="en-US"/>
        </w:rPr>
        <w:t>9:00</w:t>
      </w:r>
      <w:r w:rsidR="00CD5512" w:rsidRPr="000A5267">
        <w:rPr>
          <w:color w:val="000000" w:themeColor="text1"/>
          <w:szCs w:val="22"/>
          <w:lang w:val="en-US"/>
        </w:rPr>
        <w:tab/>
      </w:r>
      <w:r w:rsidR="00CD5512" w:rsidRPr="000A5267">
        <w:rPr>
          <w:rFonts w:eastAsia="Arial" w:cs="Arial"/>
          <w:color w:val="000000" w:themeColor="text1"/>
          <w:szCs w:val="22"/>
          <w:lang w:val="en-US"/>
        </w:rPr>
        <w:t>Reidar Lie.</w:t>
      </w:r>
      <w:proofErr w:type="gramEnd"/>
      <w:r w:rsidR="00CD5512" w:rsidRPr="000A5267">
        <w:rPr>
          <w:rFonts w:eastAsia="Arial" w:cs="Arial"/>
          <w:color w:val="000000" w:themeColor="text1"/>
          <w:szCs w:val="22"/>
          <w:lang w:val="en-US"/>
        </w:rPr>
        <w:t xml:space="preserve"> Introduction</w:t>
      </w:r>
      <w:r w:rsidR="000B765E" w:rsidRPr="000A5267">
        <w:rPr>
          <w:color w:val="000000" w:themeColor="text1"/>
          <w:szCs w:val="22"/>
          <w:lang w:val="en-US"/>
        </w:rPr>
        <w:tab/>
      </w:r>
      <w:r w:rsidR="000B765E" w:rsidRPr="000A5267">
        <w:rPr>
          <w:color w:val="000000" w:themeColor="text1"/>
          <w:szCs w:val="22"/>
          <w:lang w:val="en-US"/>
        </w:rPr>
        <w:tab/>
      </w:r>
    </w:p>
    <w:p w14:paraId="77401F4A" w14:textId="77777777" w:rsidR="00CD5512" w:rsidRPr="000A5267" w:rsidRDefault="00FA42A1" w:rsidP="00E817CE">
      <w:pPr>
        <w:spacing w:after="0" w:line="240" w:lineRule="auto"/>
        <w:rPr>
          <w:color w:val="000000" w:themeColor="text1"/>
          <w:szCs w:val="22"/>
          <w:lang w:val="en-US"/>
        </w:rPr>
      </w:pPr>
      <w:proofErr w:type="gramStart"/>
      <w:r w:rsidRPr="000A5267">
        <w:rPr>
          <w:rFonts w:eastAsia="Arial" w:cs="Arial"/>
          <w:color w:val="000000" w:themeColor="text1"/>
          <w:szCs w:val="22"/>
          <w:lang w:val="en-US"/>
        </w:rPr>
        <w:t>9:15</w:t>
      </w:r>
      <w:r w:rsidRPr="000A5267">
        <w:rPr>
          <w:color w:val="000000" w:themeColor="text1"/>
          <w:szCs w:val="22"/>
          <w:lang w:val="en-US"/>
        </w:rPr>
        <w:tab/>
      </w:r>
      <w:r w:rsidRPr="000A5267">
        <w:rPr>
          <w:rFonts w:eastAsia="Arial" w:cs="Arial"/>
          <w:color w:val="000000" w:themeColor="text1"/>
          <w:szCs w:val="22"/>
          <w:lang w:val="en-US"/>
        </w:rPr>
        <w:t>Joseph Millum.</w:t>
      </w:r>
      <w:proofErr w:type="gramEnd"/>
      <w:r w:rsidRPr="000A5267">
        <w:rPr>
          <w:rFonts w:eastAsia="Arial" w:cs="Arial"/>
          <w:color w:val="000000" w:themeColor="text1"/>
          <w:szCs w:val="22"/>
          <w:lang w:val="en-US"/>
        </w:rPr>
        <w:t xml:space="preserve"> Ethics of international research</w:t>
      </w:r>
    </w:p>
    <w:p w14:paraId="6BA64BB2" w14:textId="77777777" w:rsidR="00CD5512" w:rsidRPr="000A5267" w:rsidRDefault="00CD5512" w:rsidP="00E817CE">
      <w:pPr>
        <w:spacing w:after="0" w:line="240" w:lineRule="auto"/>
        <w:rPr>
          <w:color w:val="000000" w:themeColor="text1"/>
          <w:szCs w:val="22"/>
          <w:lang w:val="en-US"/>
        </w:rPr>
      </w:pPr>
      <w:r w:rsidRPr="000A5267">
        <w:rPr>
          <w:rFonts w:eastAsia="Arial" w:cs="Arial"/>
          <w:color w:val="000000" w:themeColor="text1"/>
          <w:szCs w:val="22"/>
          <w:lang w:val="en-US"/>
        </w:rPr>
        <w:t>10:00</w:t>
      </w:r>
      <w:r w:rsidRPr="000A5267">
        <w:rPr>
          <w:color w:val="000000" w:themeColor="text1"/>
          <w:szCs w:val="22"/>
          <w:lang w:val="en-US"/>
        </w:rPr>
        <w:tab/>
      </w:r>
      <w:r w:rsidRPr="000A5267">
        <w:rPr>
          <w:rFonts w:eastAsia="Arial" w:cs="Arial"/>
          <w:color w:val="000000" w:themeColor="text1"/>
          <w:szCs w:val="22"/>
          <w:lang w:val="en-US"/>
        </w:rPr>
        <w:t>Questions and discussion</w:t>
      </w:r>
    </w:p>
    <w:p w14:paraId="259EF7A2" w14:textId="77777777" w:rsidR="00CD5512" w:rsidRPr="000A5267" w:rsidRDefault="00CD5512" w:rsidP="00E817CE">
      <w:pPr>
        <w:spacing w:after="0" w:line="240" w:lineRule="auto"/>
        <w:rPr>
          <w:color w:val="000000" w:themeColor="text1"/>
          <w:szCs w:val="22"/>
          <w:lang w:val="en-US"/>
        </w:rPr>
      </w:pPr>
      <w:r w:rsidRPr="000A5267">
        <w:rPr>
          <w:rFonts w:eastAsia="Arial" w:cs="Arial"/>
          <w:color w:val="000000" w:themeColor="text1"/>
          <w:szCs w:val="22"/>
          <w:lang w:val="en-US"/>
        </w:rPr>
        <w:t>10:30</w:t>
      </w:r>
      <w:r w:rsidRPr="000A5267">
        <w:rPr>
          <w:color w:val="000000" w:themeColor="text1"/>
          <w:szCs w:val="22"/>
          <w:lang w:val="en-US"/>
        </w:rPr>
        <w:tab/>
      </w:r>
      <w:r w:rsidRPr="000A5267">
        <w:rPr>
          <w:rFonts w:eastAsia="Arial" w:cs="Arial"/>
          <w:color w:val="000000" w:themeColor="text1"/>
          <w:szCs w:val="22"/>
          <w:lang w:val="en-US"/>
        </w:rPr>
        <w:t>Break</w:t>
      </w:r>
    </w:p>
    <w:p w14:paraId="187AF218" w14:textId="5B71375E" w:rsidR="00CD5512" w:rsidRPr="000A5267" w:rsidRDefault="0010477C" w:rsidP="00F4270C">
      <w:pPr>
        <w:spacing w:after="0" w:line="240" w:lineRule="auto"/>
        <w:ind w:left="705" w:hanging="705"/>
        <w:rPr>
          <w:color w:val="000000" w:themeColor="text1"/>
          <w:szCs w:val="22"/>
          <w:lang w:val="en-US"/>
        </w:rPr>
      </w:pPr>
      <w:proofErr w:type="gramStart"/>
      <w:r w:rsidRPr="000A5267">
        <w:rPr>
          <w:rFonts w:eastAsia="Arial" w:cs="Arial"/>
          <w:color w:val="000000" w:themeColor="text1"/>
          <w:szCs w:val="22"/>
          <w:lang w:val="en-US"/>
        </w:rPr>
        <w:t xml:space="preserve">11:00 </w:t>
      </w:r>
      <w:r w:rsidRPr="000A5267">
        <w:rPr>
          <w:color w:val="000000" w:themeColor="text1"/>
          <w:szCs w:val="22"/>
          <w:lang w:val="en-US"/>
        </w:rPr>
        <w:tab/>
      </w:r>
      <w:r w:rsidRPr="000A5267">
        <w:rPr>
          <w:rFonts w:eastAsia="Arial" w:cs="Arial"/>
          <w:color w:val="000000" w:themeColor="text1"/>
          <w:szCs w:val="22"/>
          <w:lang w:val="en-US"/>
        </w:rPr>
        <w:t xml:space="preserve">Kenji Matsui, Calvin Ho, Shimon </w:t>
      </w:r>
      <w:proofErr w:type="spellStart"/>
      <w:r w:rsidRPr="000A5267">
        <w:rPr>
          <w:rFonts w:eastAsia="Arial" w:cs="Arial"/>
          <w:color w:val="000000" w:themeColor="text1"/>
          <w:szCs w:val="22"/>
          <w:lang w:val="en-US"/>
        </w:rPr>
        <w:t>Tashiro</w:t>
      </w:r>
      <w:proofErr w:type="spellEnd"/>
      <w:r w:rsidRPr="000A5267">
        <w:rPr>
          <w:rFonts w:eastAsia="Arial" w:cs="Arial"/>
          <w:color w:val="000000" w:themeColor="text1"/>
          <w:szCs w:val="22"/>
          <w:lang w:val="en-US"/>
        </w:rPr>
        <w:t>.</w:t>
      </w:r>
      <w:proofErr w:type="gramEnd"/>
      <w:r w:rsidRPr="000A5267">
        <w:rPr>
          <w:rFonts w:eastAsia="Arial" w:cs="Arial"/>
          <w:color w:val="000000" w:themeColor="text1"/>
          <w:szCs w:val="22"/>
          <w:lang w:val="en-US"/>
        </w:rPr>
        <w:t xml:space="preserve"> </w:t>
      </w:r>
      <w:r w:rsidR="00F4270C">
        <w:rPr>
          <w:rFonts w:eastAsia="Arial" w:cs="Arial"/>
          <w:color w:val="000000" w:themeColor="text1"/>
          <w:szCs w:val="22"/>
          <w:lang w:val="en-US"/>
        </w:rPr>
        <w:t>Developing research ethics expertise in J</w:t>
      </w:r>
      <w:r w:rsidRPr="000A5267">
        <w:rPr>
          <w:rFonts w:eastAsia="Arial" w:cs="Arial"/>
          <w:color w:val="000000" w:themeColor="text1"/>
          <w:szCs w:val="22"/>
          <w:lang w:val="en-US"/>
        </w:rPr>
        <w:t>apan and Singapore</w:t>
      </w:r>
    </w:p>
    <w:p w14:paraId="03F39D37" w14:textId="30ACB4FB" w:rsidR="00CD5512" w:rsidRDefault="00CD5512" w:rsidP="00E817CE">
      <w:pPr>
        <w:spacing w:after="0" w:line="240" w:lineRule="auto"/>
        <w:rPr>
          <w:rFonts w:eastAsia="Arial" w:cs="Arial"/>
          <w:color w:val="000000" w:themeColor="text1"/>
          <w:szCs w:val="22"/>
          <w:lang w:val="en-US"/>
        </w:rPr>
      </w:pPr>
      <w:r w:rsidRPr="000A5267">
        <w:rPr>
          <w:rFonts w:eastAsia="Arial" w:cs="Arial"/>
          <w:color w:val="000000" w:themeColor="text1"/>
          <w:szCs w:val="22"/>
          <w:lang w:val="en-US"/>
        </w:rPr>
        <w:t xml:space="preserve">12:30 </w:t>
      </w:r>
      <w:r w:rsidRPr="000A5267">
        <w:rPr>
          <w:color w:val="000000" w:themeColor="text1"/>
          <w:szCs w:val="22"/>
          <w:lang w:val="en-US"/>
        </w:rPr>
        <w:tab/>
      </w:r>
      <w:r w:rsidR="00F4270C">
        <w:rPr>
          <w:rFonts w:eastAsia="Arial" w:cs="Arial"/>
          <w:color w:val="000000" w:themeColor="text1"/>
          <w:szCs w:val="22"/>
          <w:lang w:val="en-US"/>
        </w:rPr>
        <w:t>Lunch</w:t>
      </w:r>
    </w:p>
    <w:p w14:paraId="6CA7DD45" w14:textId="1919A58A" w:rsidR="00F4270C" w:rsidRDefault="00F4270C" w:rsidP="006F478A">
      <w:pPr>
        <w:spacing w:after="0" w:line="240" w:lineRule="auto"/>
        <w:ind w:left="705" w:hanging="705"/>
        <w:rPr>
          <w:rFonts w:eastAsia="Arial" w:cs="Arial"/>
          <w:color w:val="000000" w:themeColor="text1"/>
          <w:szCs w:val="22"/>
          <w:lang w:val="en-US"/>
        </w:rPr>
      </w:pPr>
      <w:proofErr w:type="gramStart"/>
      <w:r>
        <w:rPr>
          <w:rFonts w:eastAsia="Arial" w:cs="Arial"/>
          <w:color w:val="000000" w:themeColor="text1"/>
          <w:szCs w:val="22"/>
          <w:lang w:val="en-US"/>
        </w:rPr>
        <w:t>13:30</w:t>
      </w:r>
      <w:r>
        <w:rPr>
          <w:rFonts w:eastAsia="Arial" w:cs="Arial"/>
          <w:color w:val="000000" w:themeColor="text1"/>
          <w:szCs w:val="22"/>
          <w:lang w:val="en-US"/>
        </w:rPr>
        <w:tab/>
        <w:t xml:space="preserve">Christine Grady, Joseph </w:t>
      </w:r>
      <w:proofErr w:type="spellStart"/>
      <w:r>
        <w:rPr>
          <w:rFonts w:eastAsia="Arial" w:cs="Arial"/>
          <w:color w:val="000000" w:themeColor="text1"/>
          <w:szCs w:val="22"/>
          <w:lang w:val="en-US"/>
        </w:rPr>
        <w:t>Millum</w:t>
      </w:r>
      <w:proofErr w:type="spellEnd"/>
      <w:r>
        <w:rPr>
          <w:rFonts w:eastAsia="Arial" w:cs="Arial"/>
          <w:color w:val="000000" w:themeColor="text1"/>
          <w:szCs w:val="22"/>
          <w:lang w:val="en-US"/>
        </w:rPr>
        <w:t xml:space="preserve">, David </w:t>
      </w:r>
      <w:proofErr w:type="spellStart"/>
      <w:r>
        <w:rPr>
          <w:rFonts w:eastAsia="Arial" w:cs="Arial"/>
          <w:color w:val="000000" w:themeColor="text1"/>
          <w:szCs w:val="22"/>
          <w:lang w:val="en-US"/>
        </w:rPr>
        <w:t>Wendler</w:t>
      </w:r>
      <w:proofErr w:type="spellEnd"/>
      <w:r>
        <w:rPr>
          <w:rFonts w:eastAsia="Arial" w:cs="Arial"/>
          <w:color w:val="000000" w:themeColor="text1"/>
          <w:szCs w:val="22"/>
          <w:lang w:val="en-US"/>
        </w:rPr>
        <w:t>.</w:t>
      </w:r>
      <w:proofErr w:type="gramEnd"/>
      <w:r>
        <w:rPr>
          <w:rFonts w:eastAsia="Arial" w:cs="Arial"/>
          <w:color w:val="000000" w:themeColor="text1"/>
          <w:szCs w:val="22"/>
          <w:lang w:val="en-US"/>
        </w:rPr>
        <w:t xml:space="preserve"> </w:t>
      </w:r>
      <w:proofErr w:type="gramStart"/>
      <w:r>
        <w:rPr>
          <w:rFonts w:eastAsia="Arial" w:cs="Arial"/>
          <w:color w:val="000000" w:themeColor="text1"/>
          <w:szCs w:val="22"/>
          <w:lang w:val="en-US"/>
        </w:rPr>
        <w:t>Research ethics expertise at NIH.</w:t>
      </w:r>
      <w:proofErr w:type="gramEnd"/>
      <w:r>
        <w:rPr>
          <w:rFonts w:eastAsia="Arial" w:cs="Arial"/>
          <w:color w:val="000000" w:themeColor="text1"/>
          <w:szCs w:val="22"/>
          <w:lang w:val="en-US"/>
        </w:rPr>
        <w:t xml:space="preserve"> Best practices</w:t>
      </w:r>
    </w:p>
    <w:p w14:paraId="497498E0" w14:textId="2C0520AB" w:rsidR="00F4270C" w:rsidRPr="00F67A57" w:rsidRDefault="00F4270C" w:rsidP="00E817CE">
      <w:pPr>
        <w:spacing w:after="0" w:line="240" w:lineRule="auto"/>
        <w:rPr>
          <w:color w:val="000000" w:themeColor="text1"/>
          <w:szCs w:val="22"/>
          <w:lang w:val="en-US"/>
        </w:rPr>
      </w:pPr>
      <w:r>
        <w:rPr>
          <w:rFonts w:eastAsia="Arial" w:cs="Arial"/>
          <w:color w:val="000000" w:themeColor="text1"/>
          <w:szCs w:val="22"/>
          <w:lang w:val="en-US"/>
        </w:rPr>
        <w:t>15:00</w:t>
      </w:r>
      <w:r>
        <w:rPr>
          <w:rFonts w:eastAsia="Arial" w:cs="Arial"/>
          <w:color w:val="000000" w:themeColor="text1"/>
          <w:szCs w:val="22"/>
          <w:lang w:val="en-US"/>
        </w:rPr>
        <w:tab/>
        <w:t>End of day two</w:t>
      </w:r>
    </w:p>
    <w:p w14:paraId="6CAE6BB7" w14:textId="2364A4B4" w:rsidR="7BEF8272" w:rsidRPr="00F67A57" w:rsidRDefault="7BEF8272">
      <w:pPr>
        <w:rPr>
          <w:color w:val="000000" w:themeColor="text1"/>
          <w:szCs w:val="22"/>
          <w:lang w:val="en-US"/>
        </w:rPr>
      </w:pPr>
      <w:r w:rsidRPr="00F67A57">
        <w:rPr>
          <w:rFonts w:ascii="Arial" w:eastAsia="Arial" w:hAnsi="Arial" w:cs="Arial"/>
          <w:color w:val="000000" w:themeColor="text1"/>
          <w:szCs w:val="22"/>
          <w:lang w:val="en-US"/>
        </w:rPr>
        <w:br w:type="page"/>
      </w:r>
    </w:p>
    <w:p w14:paraId="7F75AF74" w14:textId="302D9FCE" w:rsidR="7BEF8272" w:rsidRPr="00E817CE" w:rsidRDefault="7BEF8272" w:rsidP="7BEF8272">
      <w:pPr>
        <w:spacing w:after="0" w:line="240" w:lineRule="auto"/>
        <w:rPr>
          <w:lang w:val="en-US"/>
        </w:rPr>
      </w:pPr>
      <w:r w:rsidRPr="7BEF8272">
        <w:rPr>
          <w:rFonts w:ascii="Arial" w:eastAsia="Arial" w:hAnsi="Arial" w:cs="Arial"/>
          <w:b/>
          <w:bCs/>
          <w:sz w:val="24"/>
          <w:szCs w:val="24"/>
          <w:lang w:val="en-US"/>
        </w:rPr>
        <w:lastRenderedPageBreak/>
        <w:t>BIOS</w:t>
      </w:r>
    </w:p>
    <w:p w14:paraId="0CA6095D" w14:textId="33F3459F" w:rsidR="7BEF8272" w:rsidRPr="00E817CE" w:rsidRDefault="7BEF8272" w:rsidP="7BEF8272">
      <w:pPr>
        <w:rPr>
          <w:lang w:val="en-US"/>
        </w:rPr>
      </w:pPr>
      <w:r w:rsidRPr="00E817CE">
        <w:rPr>
          <w:rFonts w:ascii="Arial" w:eastAsia="Arial" w:hAnsi="Arial" w:cs="Arial"/>
          <w:b/>
          <w:bCs/>
          <w:szCs w:val="22"/>
          <w:lang w:val="en-US"/>
        </w:rPr>
        <w:t>Christine Grady</w:t>
      </w:r>
      <w:r w:rsidRPr="00E817CE">
        <w:rPr>
          <w:rFonts w:ascii="Arial" w:eastAsia="Arial" w:hAnsi="Arial" w:cs="Arial"/>
          <w:szCs w:val="22"/>
          <w:lang w:val="en-US"/>
        </w:rPr>
        <w:t xml:space="preserve"> is Chief of the Department of Bioethics at the National Institutes of Health Clinical Center. Her research focuses on the ethics of clinical research, especially subject recruitment, incentives, vulnerability, informed consent, and international research ethics. She is currently a member of the Presidential Commission for the Study of Bioethical Issues; and also a senior research fellow at the Kennedy Institute of Ethics and an elected fellow at the American Academy of Nursing and at the Hastings Center. Dr. Grady has authored more than 125 papers, authored or edited several books, and has lectured widely on ethical issues in clinical research and clinical care, HIV disease, and nursing.  She is an attending on the Bioethics Consultation service, an IRB and DSMB member, and a member of several editorial boards. She holds a B.S. in nursing and biology from Georgetown University, a M.S.N. in community health nursing from Boston College, and a Ph.D. in philosophy from Georgetown.</w:t>
      </w:r>
    </w:p>
    <w:p w14:paraId="10171A5F" w14:textId="506433D2" w:rsidR="7BEF8272" w:rsidRPr="00E817CE" w:rsidRDefault="7BEF8272" w:rsidP="7BEF8272">
      <w:pPr>
        <w:rPr>
          <w:lang w:val="en-US"/>
        </w:rPr>
      </w:pPr>
      <w:r w:rsidRPr="00E817CE">
        <w:rPr>
          <w:rFonts w:ascii="Arial" w:eastAsia="Arial" w:hAnsi="Arial" w:cs="Arial"/>
          <w:b/>
          <w:bCs/>
          <w:szCs w:val="22"/>
          <w:lang w:val="en-US"/>
        </w:rPr>
        <w:t>Joseph Millum</w:t>
      </w:r>
      <w:r w:rsidRPr="00E817CE">
        <w:rPr>
          <w:rFonts w:ascii="Arial" w:eastAsia="Arial" w:hAnsi="Arial" w:cs="Arial"/>
          <w:szCs w:val="22"/>
          <w:lang w:val="en-US"/>
        </w:rPr>
        <w:t xml:space="preserve"> serves as a liaison between the Clinical Center Department of Bioethics and the Division of International Science Policy, Planning, and Evaluation at the Fogarty International Center, where he provides ethics consultation and educational support. Dr. Millum received his undergraduate degree from Edinburgh University and his Ph.D. in philosophy from the University of Toronto. He completed a post-doctoral fellowship at the Clinical Center Department of Bioethics before taking up his present position. His current research focuses on the rights and responsibilities of parents, global justice and bioethics, priority setting for global health, and international research ethics.</w:t>
      </w:r>
    </w:p>
    <w:p w14:paraId="68D548D9" w14:textId="7C63F4EA" w:rsidR="7BEF8272" w:rsidRPr="00E817CE" w:rsidRDefault="7BEF8272" w:rsidP="7BEF8272">
      <w:pPr>
        <w:rPr>
          <w:lang w:val="en-US"/>
        </w:rPr>
      </w:pPr>
      <w:r w:rsidRPr="00E817CE">
        <w:rPr>
          <w:rFonts w:ascii="Arial" w:eastAsia="Arial" w:hAnsi="Arial" w:cs="Arial"/>
          <w:b/>
          <w:bCs/>
          <w:szCs w:val="22"/>
          <w:lang w:val="en-US"/>
        </w:rPr>
        <w:t xml:space="preserve">David </w:t>
      </w:r>
      <w:proofErr w:type="spellStart"/>
      <w:r w:rsidRPr="00E817CE">
        <w:rPr>
          <w:rFonts w:ascii="Arial" w:eastAsia="Arial" w:hAnsi="Arial" w:cs="Arial"/>
          <w:b/>
          <w:bCs/>
          <w:szCs w:val="22"/>
          <w:lang w:val="en-US"/>
        </w:rPr>
        <w:t>Wendler</w:t>
      </w:r>
      <w:proofErr w:type="spellEnd"/>
      <w:r w:rsidRPr="00E817CE">
        <w:rPr>
          <w:rFonts w:ascii="Arial" w:eastAsia="Arial" w:hAnsi="Arial" w:cs="Arial"/>
          <w:szCs w:val="22"/>
          <w:lang w:val="en-US"/>
        </w:rPr>
        <w:t xml:space="preserve"> is a senior investigator and Head of the Section on Research Ethics in the Department of Bioethics at the NIH Clinical Center. He is a philosopher trained in the philosophy of science, and metaphysics and epistemology. Dr. </w:t>
      </w:r>
      <w:proofErr w:type="spellStart"/>
      <w:r w:rsidRPr="00E817CE">
        <w:rPr>
          <w:rFonts w:ascii="Arial" w:eastAsia="Arial" w:hAnsi="Arial" w:cs="Arial"/>
          <w:szCs w:val="22"/>
          <w:lang w:val="en-US"/>
        </w:rPr>
        <w:t>Wendler</w:t>
      </w:r>
      <w:proofErr w:type="spellEnd"/>
      <w:r w:rsidRPr="00E817CE">
        <w:rPr>
          <w:rFonts w:ascii="Arial" w:eastAsia="Arial" w:hAnsi="Arial" w:cs="Arial"/>
          <w:szCs w:val="22"/>
          <w:lang w:val="en-US"/>
        </w:rPr>
        <w:t xml:space="preserve"> is an attending on the Bioethics Consultation service and has served as a consultant to numerous organizations, including the Institute of Medicine, the World Health Organization, and the World Medical Association. His current research focuses on clinical trials and clinical care with individuals who are unable to give informed consent.</w:t>
      </w:r>
    </w:p>
    <w:p w14:paraId="5DC8244F" w14:textId="69572EA8" w:rsidR="7BEF8272" w:rsidRPr="00E817CE" w:rsidRDefault="7BEF8272" w:rsidP="7BEF8272">
      <w:pPr>
        <w:rPr>
          <w:lang w:val="en-US"/>
        </w:rPr>
      </w:pPr>
      <w:r w:rsidRPr="00E817CE">
        <w:rPr>
          <w:rFonts w:ascii="Arial" w:eastAsia="Arial" w:hAnsi="Arial" w:cs="Arial"/>
          <w:b/>
          <w:bCs/>
          <w:szCs w:val="22"/>
          <w:lang w:val="en-US"/>
        </w:rPr>
        <w:t>Alan Wertheimer</w:t>
      </w:r>
      <w:r w:rsidRPr="00E817CE">
        <w:rPr>
          <w:rFonts w:ascii="Arial" w:eastAsia="Arial" w:hAnsi="Arial" w:cs="Arial"/>
          <w:szCs w:val="22"/>
          <w:lang w:val="en-US"/>
        </w:rPr>
        <w:t xml:space="preserve"> is Senior Research Scholar in the Department of Bioethics at the National Institutes of Health. He is Professor Emeritus of Political Science at the University of Vermont, where he taught from 1968 to 2005. Before retiring, he was John G. McCullough Professor of Political Science. He is the author of Coercion (Princeton University Press, 1987), Exploitation (Princeton University Press, 1996), Consent to Sexual Relations (Cambridge University Press, 2003) and </w:t>
      </w:r>
      <w:proofErr w:type="gramStart"/>
      <w:r w:rsidRPr="00E817CE">
        <w:rPr>
          <w:rFonts w:ascii="Arial" w:eastAsia="Arial" w:hAnsi="Arial" w:cs="Arial"/>
          <w:szCs w:val="22"/>
          <w:lang w:val="en-US"/>
        </w:rPr>
        <w:t>Rethinking</w:t>
      </w:r>
      <w:proofErr w:type="gramEnd"/>
      <w:r w:rsidRPr="00E817CE">
        <w:rPr>
          <w:rFonts w:ascii="Arial" w:eastAsia="Arial" w:hAnsi="Arial" w:cs="Arial"/>
          <w:szCs w:val="22"/>
          <w:lang w:val="en-US"/>
        </w:rPr>
        <w:t xml:space="preserve"> the Ethics of Clinical Research: Widening the Lens (Oxford University Press, 2011). He has held fellowships at the Institute of Advanced Study, Princeton (1984-85) and the Program in Ethics and the Professions, Harvard University (1989-90). His current research focuses on the ethics of clinical research with particular reference to issues of coercion, exploitation, and consent.</w:t>
      </w:r>
    </w:p>
    <w:p w14:paraId="3EDC24D2" w14:textId="77777777" w:rsidR="001257A9" w:rsidRPr="001257A9" w:rsidRDefault="001257A9" w:rsidP="001257A9">
      <w:pPr>
        <w:spacing w:after="0" w:line="240" w:lineRule="auto"/>
        <w:rPr>
          <w:lang w:val="en-US"/>
        </w:rPr>
      </w:pPr>
    </w:p>
    <w:sectPr w:rsidR="001257A9" w:rsidRPr="001257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037AB"/>
    <w:multiLevelType w:val="hybridMultilevel"/>
    <w:tmpl w:val="9E46827C"/>
    <w:lvl w:ilvl="0" w:tplc="4B661556">
      <w:start w:val="1"/>
      <w:numFmt w:val="decimal"/>
      <w:lvlText w:val="%1."/>
      <w:lvlJc w:val="left"/>
      <w:pPr>
        <w:ind w:left="720" w:hanging="360"/>
      </w:pPr>
    </w:lvl>
    <w:lvl w:ilvl="1" w:tplc="F402B198">
      <w:start w:val="1"/>
      <w:numFmt w:val="lowerLetter"/>
      <w:lvlText w:val="%2."/>
      <w:lvlJc w:val="left"/>
      <w:pPr>
        <w:ind w:left="1440" w:hanging="360"/>
      </w:pPr>
    </w:lvl>
    <w:lvl w:ilvl="2" w:tplc="90E08C44">
      <w:start w:val="1"/>
      <w:numFmt w:val="lowerRoman"/>
      <w:lvlText w:val="%3."/>
      <w:lvlJc w:val="right"/>
      <w:pPr>
        <w:ind w:left="2160" w:hanging="180"/>
      </w:pPr>
    </w:lvl>
    <w:lvl w:ilvl="3" w:tplc="9132B360">
      <w:start w:val="1"/>
      <w:numFmt w:val="decimal"/>
      <w:lvlText w:val="%4."/>
      <w:lvlJc w:val="left"/>
      <w:pPr>
        <w:ind w:left="2880" w:hanging="360"/>
      </w:pPr>
    </w:lvl>
    <w:lvl w:ilvl="4" w:tplc="09BE3900">
      <w:start w:val="1"/>
      <w:numFmt w:val="lowerLetter"/>
      <w:lvlText w:val="%5."/>
      <w:lvlJc w:val="left"/>
      <w:pPr>
        <w:ind w:left="3600" w:hanging="360"/>
      </w:pPr>
    </w:lvl>
    <w:lvl w:ilvl="5" w:tplc="14708A60">
      <w:start w:val="1"/>
      <w:numFmt w:val="lowerRoman"/>
      <w:lvlText w:val="%6."/>
      <w:lvlJc w:val="right"/>
      <w:pPr>
        <w:ind w:left="4320" w:hanging="180"/>
      </w:pPr>
    </w:lvl>
    <w:lvl w:ilvl="6" w:tplc="2EE8039C">
      <w:start w:val="1"/>
      <w:numFmt w:val="decimal"/>
      <w:lvlText w:val="%7."/>
      <w:lvlJc w:val="left"/>
      <w:pPr>
        <w:ind w:left="5040" w:hanging="360"/>
      </w:pPr>
    </w:lvl>
    <w:lvl w:ilvl="7" w:tplc="BCD016DE">
      <w:start w:val="1"/>
      <w:numFmt w:val="lowerLetter"/>
      <w:lvlText w:val="%8."/>
      <w:lvlJc w:val="left"/>
      <w:pPr>
        <w:ind w:left="5760" w:hanging="360"/>
      </w:pPr>
    </w:lvl>
    <w:lvl w:ilvl="8" w:tplc="C20616E4">
      <w:start w:val="1"/>
      <w:numFmt w:val="lowerRoman"/>
      <w:lvlText w:val="%9."/>
      <w:lvlJc w:val="right"/>
      <w:pPr>
        <w:ind w:left="6480" w:hanging="180"/>
      </w:pPr>
    </w:lvl>
  </w:abstractNum>
  <w:abstractNum w:abstractNumId="1">
    <w:nsid w:val="4EDF1213"/>
    <w:multiLevelType w:val="hybridMultilevel"/>
    <w:tmpl w:val="71D6A8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82B118A"/>
    <w:multiLevelType w:val="hybridMultilevel"/>
    <w:tmpl w:val="0FB61DEA"/>
    <w:lvl w:ilvl="0" w:tplc="1F7AEBDE">
      <w:start w:val="1"/>
      <w:numFmt w:val="decimal"/>
      <w:lvlText w:val="%1."/>
      <w:lvlJc w:val="left"/>
      <w:pPr>
        <w:ind w:left="720" w:hanging="360"/>
      </w:pPr>
    </w:lvl>
    <w:lvl w:ilvl="1" w:tplc="6B3E99B8">
      <w:start w:val="1"/>
      <w:numFmt w:val="lowerLetter"/>
      <w:lvlText w:val="%2."/>
      <w:lvlJc w:val="left"/>
      <w:pPr>
        <w:ind w:left="1440" w:hanging="360"/>
      </w:pPr>
    </w:lvl>
    <w:lvl w:ilvl="2" w:tplc="CEBA3E1C">
      <w:start w:val="1"/>
      <w:numFmt w:val="lowerRoman"/>
      <w:lvlText w:val="%3."/>
      <w:lvlJc w:val="right"/>
      <w:pPr>
        <w:ind w:left="2160" w:hanging="180"/>
      </w:pPr>
    </w:lvl>
    <w:lvl w:ilvl="3" w:tplc="0E1CA056">
      <w:start w:val="1"/>
      <w:numFmt w:val="decimal"/>
      <w:lvlText w:val="%4."/>
      <w:lvlJc w:val="left"/>
      <w:pPr>
        <w:ind w:left="2880" w:hanging="360"/>
      </w:pPr>
    </w:lvl>
    <w:lvl w:ilvl="4" w:tplc="9C5AAF0A">
      <w:start w:val="1"/>
      <w:numFmt w:val="lowerLetter"/>
      <w:lvlText w:val="%5."/>
      <w:lvlJc w:val="left"/>
      <w:pPr>
        <w:ind w:left="3600" w:hanging="360"/>
      </w:pPr>
    </w:lvl>
    <w:lvl w:ilvl="5" w:tplc="8D520EF8">
      <w:start w:val="1"/>
      <w:numFmt w:val="lowerRoman"/>
      <w:lvlText w:val="%6."/>
      <w:lvlJc w:val="right"/>
      <w:pPr>
        <w:ind w:left="4320" w:hanging="180"/>
      </w:pPr>
    </w:lvl>
    <w:lvl w:ilvl="6" w:tplc="9F82CDDA">
      <w:start w:val="1"/>
      <w:numFmt w:val="decimal"/>
      <w:lvlText w:val="%7."/>
      <w:lvlJc w:val="left"/>
      <w:pPr>
        <w:ind w:left="5040" w:hanging="360"/>
      </w:pPr>
    </w:lvl>
    <w:lvl w:ilvl="7" w:tplc="D9B0F668">
      <w:start w:val="1"/>
      <w:numFmt w:val="lowerLetter"/>
      <w:lvlText w:val="%8."/>
      <w:lvlJc w:val="left"/>
      <w:pPr>
        <w:ind w:left="5760" w:hanging="360"/>
      </w:pPr>
    </w:lvl>
    <w:lvl w:ilvl="8" w:tplc="8B8ACD8A">
      <w:start w:val="1"/>
      <w:numFmt w:val="lowerRoman"/>
      <w:lvlText w:val="%9."/>
      <w:lvlJc w:val="right"/>
      <w:pPr>
        <w:ind w:left="6480" w:hanging="180"/>
      </w:pPr>
    </w:lvl>
  </w:abstractNum>
  <w:abstractNum w:abstractNumId="3">
    <w:nsid w:val="699422CC"/>
    <w:multiLevelType w:val="hybridMultilevel"/>
    <w:tmpl w:val="67B294F0"/>
    <w:lvl w:ilvl="0" w:tplc="5136D874">
      <w:start w:val="1"/>
      <w:numFmt w:val="decimal"/>
      <w:lvlText w:val="%1."/>
      <w:lvlJc w:val="left"/>
      <w:pPr>
        <w:ind w:left="720" w:hanging="360"/>
      </w:pPr>
    </w:lvl>
    <w:lvl w:ilvl="1" w:tplc="87068B34">
      <w:start w:val="1"/>
      <w:numFmt w:val="lowerLetter"/>
      <w:lvlText w:val="%2."/>
      <w:lvlJc w:val="left"/>
      <w:pPr>
        <w:ind w:left="1440" w:hanging="360"/>
      </w:pPr>
    </w:lvl>
    <w:lvl w:ilvl="2" w:tplc="EFD2FD70">
      <w:start w:val="1"/>
      <w:numFmt w:val="lowerRoman"/>
      <w:lvlText w:val="%3."/>
      <w:lvlJc w:val="right"/>
      <w:pPr>
        <w:ind w:left="2160" w:hanging="180"/>
      </w:pPr>
    </w:lvl>
    <w:lvl w:ilvl="3" w:tplc="5EB8554A">
      <w:start w:val="1"/>
      <w:numFmt w:val="decimal"/>
      <w:lvlText w:val="%4."/>
      <w:lvlJc w:val="left"/>
      <w:pPr>
        <w:ind w:left="2880" w:hanging="360"/>
      </w:pPr>
    </w:lvl>
    <w:lvl w:ilvl="4" w:tplc="664E1F30">
      <w:start w:val="1"/>
      <w:numFmt w:val="lowerLetter"/>
      <w:lvlText w:val="%5."/>
      <w:lvlJc w:val="left"/>
      <w:pPr>
        <w:ind w:left="3600" w:hanging="360"/>
      </w:pPr>
    </w:lvl>
    <w:lvl w:ilvl="5" w:tplc="C38A0096">
      <w:start w:val="1"/>
      <w:numFmt w:val="lowerRoman"/>
      <w:lvlText w:val="%6."/>
      <w:lvlJc w:val="right"/>
      <w:pPr>
        <w:ind w:left="4320" w:hanging="180"/>
      </w:pPr>
    </w:lvl>
    <w:lvl w:ilvl="6" w:tplc="FCBEAD60">
      <w:start w:val="1"/>
      <w:numFmt w:val="decimal"/>
      <w:lvlText w:val="%7."/>
      <w:lvlJc w:val="left"/>
      <w:pPr>
        <w:ind w:left="5040" w:hanging="360"/>
      </w:pPr>
    </w:lvl>
    <w:lvl w:ilvl="7" w:tplc="EFE2778A">
      <w:start w:val="1"/>
      <w:numFmt w:val="lowerLetter"/>
      <w:lvlText w:val="%8."/>
      <w:lvlJc w:val="left"/>
      <w:pPr>
        <w:ind w:left="5760" w:hanging="360"/>
      </w:pPr>
    </w:lvl>
    <w:lvl w:ilvl="8" w:tplc="56E289AC">
      <w:start w:val="1"/>
      <w:numFmt w:val="lowerRoman"/>
      <w:lvlText w:val="%9."/>
      <w:lvlJc w:val="right"/>
      <w:pPr>
        <w:ind w:left="6480" w:hanging="180"/>
      </w:pPr>
    </w:lvl>
  </w:abstractNum>
  <w:abstractNum w:abstractNumId="4">
    <w:nsid w:val="72E74658"/>
    <w:multiLevelType w:val="hybridMultilevel"/>
    <w:tmpl w:val="E6CEF912"/>
    <w:lvl w:ilvl="0" w:tplc="B9A21738">
      <w:start w:val="1"/>
      <w:numFmt w:val="decimal"/>
      <w:lvlText w:val="%1."/>
      <w:lvlJc w:val="left"/>
      <w:pPr>
        <w:ind w:left="720" w:hanging="360"/>
      </w:pPr>
    </w:lvl>
    <w:lvl w:ilvl="1" w:tplc="2E3C0F08">
      <w:start w:val="1"/>
      <w:numFmt w:val="lowerLetter"/>
      <w:lvlText w:val="%2."/>
      <w:lvlJc w:val="left"/>
      <w:pPr>
        <w:ind w:left="1440" w:hanging="360"/>
      </w:pPr>
    </w:lvl>
    <w:lvl w:ilvl="2" w:tplc="0D4EA6F6">
      <w:start w:val="1"/>
      <w:numFmt w:val="lowerRoman"/>
      <w:lvlText w:val="%3."/>
      <w:lvlJc w:val="right"/>
      <w:pPr>
        <w:ind w:left="2160" w:hanging="180"/>
      </w:pPr>
    </w:lvl>
    <w:lvl w:ilvl="3" w:tplc="C44894A6">
      <w:start w:val="1"/>
      <w:numFmt w:val="decimal"/>
      <w:lvlText w:val="%4."/>
      <w:lvlJc w:val="left"/>
      <w:pPr>
        <w:ind w:left="2880" w:hanging="360"/>
      </w:pPr>
    </w:lvl>
    <w:lvl w:ilvl="4" w:tplc="0EA0880A">
      <w:start w:val="1"/>
      <w:numFmt w:val="lowerLetter"/>
      <w:lvlText w:val="%5."/>
      <w:lvlJc w:val="left"/>
      <w:pPr>
        <w:ind w:left="3600" w:hanging="360"/>
      </w:pPr>
    </w:lvl>
    <w:lvl w:ilvl="5" w:tplc="66F8A26C">
      <w:start w:val="1"/>
      <w:numFmt w:val="lowerRoman"/>
      <w:lvlText w:val="%6."/>
      <w:lvlJc w:val="right"/>
      <w:pPr>
        <w:ind w:left="4320" w:hanging="180"/>
      </w:pPr>
    </w:lvl>
    <w:lvl w:ilvl="6" w:tplc="92680CC4">
      <w:start w:val="1"/>
      <w:numFmt w:val="decimal"/>
      <w:lvlText w:val="%7."/>
      <w:lvlJc w:val="left"/>
      <w:pPr>
        <w:ind w:left="5040" w:hanging="360"/>
      </w:pPr>
    </w:lvl>
    <w:lvl w:ilvl="7" w:tplc="2A763714">
      <w:start w:val="1"/>
      <w:numFmt w:val="lowerLetter"/>
      <w:lvlText w:val="%8."/>
      <w:lvlJc w:val="left"/>
      <w:pPr>
        <w:ind w:left="5760" w:hanging="360"/>
      </w:pPr>
    </w:lvl>
    <w:lvl w:ilvl="8" w:tplc="563EE5A0">
      <w:start w:val="1"/>
      <w:numFmt w:val="lowerRoman"/>
      <w:lvlText w:val="%9."/>
      <w:lvlJc w:val="right"/>
      <w:pPr>
        <w:ind w:left="6480"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proofState w:spelling="clean" w:grammar="clean"/>
  <w:defaultTabStop w:val="708"/>
  <w:hyphenationZone w:val="425"/>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7A9"/>
    <w:rsid w:val="000A5267"/>
    <w:rsid w:val="000B765E"/>
    <w:rsid w:val="0010477C"/>
    <w:rsid w:val="001257A9"/>
    <w:rsid w:val="001C5F5E"/>
    <w:rsid w:val="00295A3B"/>
    <w:rsid w:val="00326F6E"/>
    <w:rsid w:val="003A4E4E"/>
    <w:rsid w:val="00497EEA"/>
    <w:rsid w:val="006F478A"/>
    <w:rsid w:val="00716E99"/>
    <w:rsid w:val="00777944"/>
    <w:rsid w:val="007C35BE"/>
    <w:rsid w:val="0088774C"/>
    <w:rsid w:val="00964ABA"/>
    <w:rsid w:val="009909E2"/>
    <w:rsid w:val="009B337B"/>
    <w:rsid w:val="00B8425F"/>
    <w:rsid w:val="00CD5512"/>
    <w:rsid w:val="00E817CE"/>
    <w:rsid w:val="00F4270C"/>
    <w:rsid w:val="00F67A57"/>
    <w:rsid w:val="00FA42A1"/>
    <w:rsid w:val="2DA2A848"/>
    <w:rsid w:val="632F475F"/>
    <w:rsid w:val="7BEF8272"/>
  </w:rsids>
  <m:mathPr>
    <m:mathFont m:val="Cambria Math"/>
    <m:brkBin m:val="before"/>
    <m:brkBinSub m:val="--"/>
    <m:smallFrac m:val="0"/>
    <m:dispDef/>
    <m:lMargin m:val="0"/>
    <m:rMargin m:val="0"/>
    <m:defJc m:val="centerGroup"/>
    <m:wrapIndent m:val="1440"/>
    <m:intLim m:val="subSup"/>
    <m:naryLim m:val="undOvr"/>
  </m:mathPr>
  <w:themeFontLang w:val="nb-NO"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BF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nb-NO" w:eastAsia="en-US" w:bidi="th-TH"/>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E817CE"/>
    <w:pPr>
      <w:spacing w:after="0" w:line="240" w:lineRule="auto"/>
    </w:pPr>
    <w:rPr>
      <w:rFonts w:ascii="Tahoma" w:hAnsi="Tahoma" w:cs="Angsana New"/>
      <w:sz w:val="16"/>
      <w:szCs w:val="20"/>
    </w:rPr>
  </w:style>
  <w:style w:type="character" w:customStyle="1" w:styleId="BobletekstTegn">
    <w:name w:val="Bobletekst Tegn"/>
    <w:basedOn w:val="Standardskriftforavsnitt"/>
    <w:link w:val="Bobletekst"/>
    <w:uiPriority w:val="99"/>
    <w:semiHidden/>
    <w:rsid w:val="00E817CE"/>
    <w:rPr>
      <w:rFonts w:ascii="Tahoma" w:hAnsi="Tahoma" w:cs="Angsana New"/>
      <w:sz w:val="16"/>
      <w:szCs w:val="20"/>
    </w:rPr>
  </w:style>
  <w:style w:type="paragraph" w:styleId="Listeavsnitt">
    <w:name w:val="List Paragraph"/>
    <w:basedOn w:val="Normal"/>
    <w:uiPriority w:val="34"/>
    <w:qFormat/>
    <w:rsid w:val="00716E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nb-NO" w:eastAsia="en-US" w:bidi="th-TH"/>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E817CE"/>
    <w:pPr>
      <w:spacing w:after="0" w:line="240" w:lineRule="auto"/>
    </w:pPr>
    <w:rPr>
      <w:rFonts w:ascii="Tahoma" w:hAnsi="Tahoma" w:cs="Angsana New"/>
      <w:sz w:val="16"/>
      <w:szCs w:val="20"/>
    </w:rPr>
  </w:style>
  <w:style w:type="character" w:customStyle="1" w:styleId="BobletekstTegn">
    <w:name w:val="Bobletekst Tegn"/>
    <w:basedOn w:val="Standardskriftforavsnitt"/>
    <w:link w:val="Bobletekst"/>
    <w:uiPriority w:val="99"/>
    <w:semiHidden/>
    <w:rsid w:val="00E817CE"/>
    <w:rPr>
      <w:rFonts w:ascii="Tahoma" w:hAnsi="Tahoma" w:cs="Angsana New"/>
      <w:sz w:val="16"/>
      <w:szCs w:val="20"/>
    </w:rPr>
  </w:style>
  <w:style w:type="paragraph" w:styleId="Listeavsnitt">
    <w:name w:val="List Paragraph"/>
    <w:basedOn w:val="Normal"/>
    <w:uiPriority w:val="34"/>
    <w:qFormat/>
    <w:rsid w:val="00716E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6198626">
      <w:bodyDiv w:val="1"/>
      <w:marLeft w:val="0"/>
      <w:marRight w:val="0"/>
      <w:marTop w:val="0"/>
      <w:marBottom w:val="0"/>
      <w:divBdr>
        <w:top w:val="none" w:sz="0" w:space="0" w:color="auto"/>
        <w:left w:val="none" w:sz="0" w:space="0" w:color="auto"/>
        <w:bottom w:val="none" w:sz="0" w:space="0" w:color="auto"/>
        <w:right w:val="none" w:sz="0" w:space="0" w:color="auto"/>
      </w:divBdr>
      <w:divsChild>
        <w:div w:id="16665192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9CD72A00.dotm</Template>
  <TotalTime>0</TotalTime>
  <Pages>3</Pages>
  <Words>1153</Words>
  <Characters>6116</Characters>
  <Application>Microsoft Office Word</Application>
  <DocSecurity>4</DocSecurity>
  <Lines>50</Lines>
  <Paragraphs>14</Paragraphs>
  <ScaleCrop>false</ScaleCrop>
  <HeadingPairs>
    <vt:vector size="2" baseType="variant">
      <vt:variant>
        <vt:lpstr>Tittel</vt:lpstr>
      </vt:variant>
      <vt:variant>
        <vt:i4>1</vt:i4>
      </vt:variant>
    </vt:vector>
  </HeadingPairs>
  <TitlesOfParts>
    <vt:vector size="1" baseType="lpstr">
      <vt:lpstr/>
    </vt:vector>
  </TitlesOfParts>
  <Company>UiB</Company>
  <LinksUpToDate>false</LinksUpToDate>
  <CharactersWithSpaces>7255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Reidar Lie</dc:creator>
  <cp:lastModifiedBy>Irene Lavik Hjelmaas</cp:lastModifiedBy>
  <cp:revision>2</cp:revision>
  <dcterms:created xsi:type="dcterms:W3CDTF">2015-03-26T08:13:00Z</dcterms:created>
  <dcterms:modified xsi:type="dcterms:W3CDTF">2015-03-26T08:13:00Z</dcterms:modified>
</cp:coreProperties>
</file>